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D4FDA" w14:textId="27030ACB" w:rsidR="00A62176" w:rsidRPr="004A5C5B" w:rsidRDefault="00F54C8F" w:rsidP="00A62176">
      <w:pPr>
        <w:tabs>
          <w:tab w:val="left" w:pos="7230"/>
        </w:tabs>
        <w:spacing w:after="0" w:line="240" w:lineRule="auto"/>
        <w:rPr>
          <w:b/>
          <w:bCs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48474CA" wp14:editId="52DCEA97">
                <wp:simplePos x="0" y="0"/>
                <wp:positionH relativeFrom="column">
                  <wp:posOffset>4140200</wp:posOffset>
                </wp:positionH>
                <wp:positionV relativeFrom="paragraph">
                  <wp:posOffset>0</wp:posOffset>
                </wp:positionV>
                <wp:extent cx="2076450" cy="12192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574D75" w14:textId="7E8ED654" w:rsidR="00F54C8F" w:rsidRDefault="00090B7E" w:rsidP="00F54C8F">
                            <w:r>
                              <w:t>Please attach patient label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8474C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6pt;margin-top:0;width:163.5pt;height:9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">
                <v:textbox>
                  <w:txbxContent>
                    <w:p w14:paraId="50574D75" w14:textId="7E8ED654" w:rsidR="00F54C8F" w:rsidRDefault="00090B7E" w:rsidP="00F54C8F">
                      <w:r>
                        <w:t>Please attach patient label here</w:t>
                      </w:r>
                    </w:p>
                  </w:txbxContent>
                </v:textbox>
              </v:shape>
            </w:pict>
          </mc:Fallback>
        </mc:AlternateContent>
      </w:r>
      <w:r w:rsidR="00A62176" w:rsidRPr="004A5C5B">
        <w:rPr>
          <w:b/>
          <w:bCs/>
        </w:rPr>
        <w:t>GP Name</w:t>
      </w:r>
      <w:r w:rsidRPr="00F54C8F">
        <w:rPr>
          <w:noProof/>
          <w:lang w:eastAsia="en-GB"/>
        </w:rPr>
        <w:t xml:space="preserve"> </w:t>
      </w:r>
    </w:p>
    <w:p w14:paraId="574D2527" w14:textId="5D1A104F" w:rsidR="00A62176" w:rsidRDefault="00A62176" w:rsidP="004A5C5B">
      <w:pPr>
        <w:tabs>
          <w:tab w:val="left" w:pos="8140"/>
        </w:tabs>
        <w:spacing w:after="0" w:line="240" w:lineRule="auto"/>
      </w:pPr>
      <w:r>
        <w:t xml:space="preserve">Address </w:t>
      </w:r>
      <w:r w:rsidR="00F54C8F">
        <w:t>1</w:t>
      </w:r>
    </w:p>
    <w:p w14:paraId="45972388" w14:textId="77777777" w:rsidR="00A62176" w:rsidRDefault="00A62176" w:rsidP="00A62176">
      <w:pPr>
        <w:tabs>
          <w:tab w:val="left" w:pos="7230"/>
        </w:tabs>
        <w:spacing w:after="0" w:line="240" w:lineRule="auto"/>
      </w:pPr>
      <w:r>
        <w:t>Address 2</w:t>
      </w:r>
    </w:p>
    <w:p w14:paraId="523AF47E" w14:textId="77777777" w:rsidR="00A62176" w:rsidRDefault="00A62176" w:rsidP="00A62176">
      <w:pPr>
        <w:tabs>
          <w:tab w:val="left" w:pos="7230"/>
        </w:tabs>
        <w:spacing w:after="0" w:line="240" w:lineRule="auto"/>
      </w:pPr>
      <w:r>
        <w:t>Address 3</w:t>
      </w:r>
    </w:p>
    <w:p w14:paraId="3AC268AE" w14:textId="77777777" w:rsidR="00A62176" w:rsidRDefault="00A62176" w:rsidP="00A62176">
      <w:pPr>
        <w:tabs>
          <w:tab w:val="left" w:pos="7230"/>
        </w:tabs>
        <w:spacing w:after="0" w:line="240" w:lineRule="auto"/>
      </w:pPr>
      <w:r>
        <w:t>City Postcode</w:t>
      </w:r>
    </w:p>
    <w:p w14:paraId="13216DDB" w14:textId="77777777" w:rsidR="00A62176" w:rsidRDefault="00A62176" w:rsidP="00A62176">
      <w:pPr>
        <w:tabs>
          <w:tab w:val="left" w:pos="7230"/>
        </w:tabs>
        <w:spacing w:after="0" w:line="240" w:lineRule="auto"/>
      </w:pPr>
    </w:p>
    <w:p w14:paraId="43F0373B" w14:textId="513024A1" w:rsidR="0001736B" w:rsidRDefault="00A62176" w:rsidP="004A5C5B">
      <w:pPr>
        <w:tabs>
          <w:tab w:val="left" w:pos="2830"/>
        </w:tabs>
        <w:spacing w:after="0" w:line="240" w:lineRule="auto"/>
      </w:pPr>
      <w:r>
        <w:t>Date</w:t>
      </w:r>
      <w:r w:rsidR="004A5C5B">
        <w:tab/>
      </w:r>
    </w:p>
    <w:p w14:paraId="462361DE" w14:textId="77777777" w:rsidR="00A62176" w:rsidRDefault="00A62176" w:rsidP="00A62176">
      <w:pPr>
        <w:spacing w:after="0" w:line="240" w:lineRule="auto"/>
        <w:jc w:val="both"/>
      </w:pPr>
    </w:p>
    <w:p w14:paraId="1BEF1DA1" w14:textId="073C5160" w:rsidR="00A62176" w:rsidRDefault="001C3079" w:rsidP="00501181">
      <w:pPr>
        <w:spacing w:after="0" w:line="240" w:lineRule="auto"/>
        <w:jc w:val="both"/>
      </w:pPr>
      <w:r>
        <w:t xml:space="preserve">Dear Dr </w:t>
      </w:r>
    </w:p>
    <w:p w14:paraId="20D0892D" w14:textId="77777777" w:rsidR="00501181" w:rsidRPr="00501181" w:rsidRDefault="00501181" w:rsidP="00501181">
      <w:pPr>
        <w:spacing w:after="0" w:line="240" w:lineRule="auto"/>
        <w:jc w:val="both"/>
      </w:pPr>
    </w:p>
    <w:p w14:paraId="2A6E4624" w14:textId="1295E7ED" w:rsidR="0001736B" w:rsidRPr="0001736B" w:rsidRDefault="0001736B" w:rsidP="002D1C49">
      <w:pPr>
        <w:jc w:val="both"/>
        <w:rPr>
          <w:b/>
          <w:bCs/>
        </w:rPr>
      </w:pPr>
      <w:r w:rsidRPr="0001736B">
        <w:rPr>
          <w:b/>
          <w:bCs/>
        </w:rPr>
        <w:t>Patient name……………………………</w:t>
      </w:r>
      <w:proofErr w:type="gramStart"/>
      <w:r w:rsidRPr="0001736B">
        <w:rPr>
          <w:b/>
          <w:bCs/>
        </w:rPr>
        <w:t>…..</w:t>
      </w:r>
      <w:proofErr w:type="gramEnd"/>
    </w:p>
    <w:p w14:paraId="36C3116C" w14:textId="374FC88D" w:rsidR="00F51D1D" w:rsidRDefault="00E961F6" w:rsidP="00F51D1D">
      <w:r>
        <w:t xml:space="preserve">Your patient has been </w:t>
      </w:r>
      <w:r w:rsidR="00A36AEA">
        <w:t xml:space="preserve">recommended to start </w:t>
      </w:r>
      <w:r w:rsidR="00A36AEA" w:rsidRPr="00741360">
        <w:rPr>
          <w:b/>
          <w:bCs/>
        </w:rPr>
        <w:t>dapagliflozin</w:t>
      </w:r>
      <w:r w:rsidR="00D02E01" w:rsidRPr="00741360">
        <w:rPr>
          <w:b/>
          <w:bCs/>
        </w:rPr>
        <w:t xml:space="preserve"> / empagliflozin</w:t>
      </w:r>
      <w:r w:rsidR="00A36AEA" w:rsidRPr="00741360">
        <w:t xml:space="preserve"> </w:t>
      </w:r>
      <w:r w:rsidR="002F64C2" w:rsidRPr="00741360">
        <w:rPr>
          <w:b/>
          <w:bCs/>
        </w:rPr>
        <w:t>[delete as appropriate]</w:t>
      </w:r>
      <w:r w:rsidR="002F64C2" w:rsidRPr="00C61912">
        <w:rPr>
          <w:b/>
          <w:bCs/>
        </w:rPr>
        <w:t xml:space="preserve"> </w:t>
      </w:r>
      <w:r>
        <w:t>by the heart failure team</w:t>
      </w:r>
      <w:r w:rsidR="00894F0C">
        <w:t xml:space="preserve">. </w:t>
      </w:r>
      <w:r w:rsidR="00F51D1D">
        <w:t xml:space="preserve">We would kindly ask that </w:t>
      </w:r>
      <w:r w:rsidR="00F51D1D" w:rsidRPr="00D046C4">
        <w:t xml:space="preserve">you to </w:t>
      </w:r>
      <w:r w:rsidR="00F51D1D">
        <w:t>start</w:t>
      </w:r>
      <w:r w:rsidR="00F51D1D" w:rsidRPr="00D046C4">
        <w:t xml:space="preserve"> prescrib</w:t>
      </w:r>
      <w:r w:rsidR="00F51D1D">
        <w:t xml:space="preserve">ing and note the indication in the patient’s medical record. Any </w:t>
      </w:r>
      <w:r w:rsidR="00AB6268">
        <w:t xml:space="preserve">other </w:t>
      </w:r>
      <w:r w:rsidR="00F51D1D">
        <w:t xml:space="preserve">changes to medicines, including to oral hypoglycaemic medications, insulin or diuretics will be communicated separately.  </w:t>
      </w:r>
    </w:p>
    <w:p w14:paraId="13D48FB8" w14:textId="049BA916" w:rsidR="001A0190" w:rsidRDefault="00894F0C" w:rsidP="005D3901">
      <w:r w:rsidRPr="00741360">
        <w:t xml:space="preserve">Dapagliflozin </w:t>
      </w:r>
      <w:r w:rsidR="00D02E01" w:rsidRPr="00741360">
        <w:t xml:space="preserve">and empagliflozin are </w:t>
      </w:r>
      <w:r w:rsidR="00E961F6" w:rsidRPr="00741360">
        <w:t>sodium-glucose co</w:t>
      </w:r>
      <w:r w:rsidR="0015123D" w:rsidRPr="00741360">
        <w:t xml:space="preserve">transporter-2 </w:t>
      </w:r>
      <w:r w:rsidR="00131755" w:rsidRPr="00741360">
        <w:t xml:space="preserve">(SGLT2) </w:t>
      </w:r>
      <w:r w:rsidR="0015123D" w:rsidRPr="00741360">
        <w:t>inhibitor</w:t>
      </w:r>
      <w:r w:rsidR="00D02E01" w:rsidRPr="00741360">
        <w:t>s</w:t>
      </w:r>
      <w:r>
        <w:t xml:space="preserve"> </w:t>
      </w:r>
      <w:r w:rsidR="0038768C">
        <w:t xml:space="preserve">approved </w:t>
      </w:r>
      <w:r w:rsidR="00E961F6">
        <w:t>for treating chronic heart failure with</w:t>
      </w:r>
      <w:r w:rsidR="0015123D">
        <w:t xml:space="preserve"> reduced ejection fraction</w:t>
      </w:r>
      <w:r w:rsidR="001A0190">
        <w:t xml:space="preserve"> as an add-on to optimised standard care</w:t>
      </w:r>
      <w:r w:rsidR="0015123D">
        <w:t xml:space="preserve"> </w:t>
      </w:r>
      <w:r w:rsidR="00214EA7">
        <w:t xml:space="preserve">in line </w:t>
      </w:r>
      <w:r w:rsidR="00214EA7" w:rsidRPr="00741360">
        <w:t xml:space="preserve">with </w:t>
      </w:r>
      <w:hyperlink r:id="rId11" w:history="1">
        <w:r w:rsidR="0015123D" w:rsidRPr="00741360">
          <w:rPr>
            <w:rStyle w:val="Hyperlink"/>
          </w:rPr>
          <w:t>NICE TA679</w:t>
        </w:r>
      </w:hyperlink>
      <w:r w:rsidR="00D02E01" w:rsidRPr="00741360">
        <w:rPr>
          <w:rStyle w:val="Hyperlink"/>
        </w:rPr>
        <w:t xml:space="preserve"> </w:t>
      </w:r>
      <w:r w:rsidR="00131755" w:rsidRPr="00741360">
        <w:t xml:space="preserve"> (dapagliflozin) and </w:t>
      </w:r>
      <w:r w:rsidR="002F64C2" w:rsidRPr="00741360">
        <w:t xml:space="preserve"> </w:t>
      </w:r>
      <w:hyperlink r:id="rId12" w:history="1">
        <w:r w:rsidR="00131755" w:rsidRPr="00741360">
          <w:rPr>
            <w:rStyle w:val="Hyperlink"/>
          </w:rPr>
          <w:t>NICE TA773</w:t>
        </w:r>
      </w:hyperlink>
      <w:r w:rsidR="00131755" w:rsidRPr="00741360">
        <w:t xml:space="preserve"> (empagliflozin)</w:t>
      </w:r>
      <w:r w:rsidR="00CE112F" w:rsidRPr="00741360">
        <w:t>.</w:t>
      </w:r>
      <w:r w:rsidR="002F64C2">
        <w:t xml:space="preserve"> </w:t>
      </w:r>
    </w:p>
    <w:p w14:paraId="7FA37455" w14:textId="0ACDAAB5" w:rsidR="0038768C" w:rsidRPr="00D479E2" w:rsidRDefault="00F26E13" w:rsidP="00D479E2">
      <w:r>
        <w:t xml:space="preserve">Baseline blood tests </w:t>
      </w:r>
      <w:r w:rsidR="0021535E">
        <w:t xml:space="preserve">should be checked </w:t>
      </w:r>
      <w:r w:rsidR="00E854F6">
        <w:t>before</w:t>
      </w:r>
      <w:r w:rsidR="0021535E">
        <w:t xml:space="preserve"> </w:t>
      </w:r>
      <w:r w:rsidR="00A17BAD">
        <w:t>initiation</w:t>
      </w:r>
      <w:r w:rsidR="0021535E">
        <w:t xml:space="preserve"> </w:t>
      </w:r>
      <w:r w:rsidR="00A40402">
        <w:t xml:space="preserve">to help exclude any contra-indications </w:t>
      </w:r>
      <w:r>
        <w:t xml:space="preserve">including </w:t>
      </w:r>
      <w:r w:rsidRPr="00F44A8A">
        <w:t>U&amp;Es</w:t>
      </w:r>
      <w:r w:rsidR="00741360">
        <w:t>,</w:t>
      </w:r>
      <w:r w:rsidRPr="00F44A8A">
        <w:t xml:space="preserve"> eGFR, LFTs and HbA1c</w:t>
      </w:r>
      <w:r>
        <w:t xml:space="preserve">. </w:t>
      </w:r>
      <w:r w:rsidR="00D479E2">
        <w:t xml:space="preserve">There is a pre-prescribing checklist included at the end of this letter which may be useful. </w:t>
      </w:r>
    </w:p>
    <w:p w14:paraId="2377A23E" w14:textId="0F1AA14C" w:rsidR="00A40402" w:rsidRDefault="00A40402" w:rsidP="004B62DE">
      <w:pPr>
        <w:spacing w:after="0"/>
      </w:pPr>
      <w:r>
        <w:t xml:space="preserve">Please refer to </w:t>
      </w:r>
      <w:bookmarkStart w:id="0" w:name="_Hlk88043015"/>
      <w:r w:rsidR="00D02E01" w:rsidRPr="00741360">
        <w:t>the relevant</w:t>
      </w:r>
      <w:r w:rsidR="00CE112F" w:rsidRPr="00741360">
        <w:t xml:space="preserve"> SPC (</w:t>
      </w:r>
      <w:hyperlink r:id="rId13" w:history="1">
        <w:r w:rsidR="00CE112F" w:rsidRPr="00741360">
          <w:rPr>
            <w:rStyle w:val="Hyperlink"/>
          </w:rPr>
          <w:t>dapagliflozin</w:t>
        </w:r>
      </w:hyperlink>
      <w:r w:rsidR="00CE112F" w:rsidRPr="00741360">
        <w:t xml:space="preserve"> / </w:t>
      </w:r>
      <w:hyperlink r:id="rId14" w:history="1">
        <w:r w:rsidR="00CE112F" w:rsidRPr="00741360">
          <w:rPr>
            <w:rStyle w:val="Hyperlink"/>
          </w:rPr>
          <w:t>empagliflozin</w:t>
        </w:r>
      </w:hyperlink>
      <w:r w:rsidR="00CE112F" w:rsidRPr="00741360">
        <w:t>)</w:t>
      </w:r>
      <w:r w:rsidR="00A11D24" w:rsidRPr="00741360">
        <w:t xml:space="preserve"> </w:t>
      </w:r>
      <w:hyperlink r:id="rId15" w:anchor="gref" w:history="1"/>
      <w:r w:rsidR="008B066B" w:rsidRPr="00741360">
        <w:t>and</w:t>
      </w:r>
      <w:r w:rsidR="008B066B">
        <w:t xml:space="preserve"> the following </w:t>
      </w:r>
      <w:r>
        <w:t xml:space="preserve">prescribing </w:t>
      </w:r>
      <w:bookmarkEnd w:id="0"/>
      <w:r>
        <w:t>support documents available on the Pan Mersey APC Website</w:t>
      </w:r>
      <w:r w:rsidR="00EE206C">
        <w:t>:</w:t>
      </w:r>
      <w:r>
        <w:t xml:space="preserve"> </w:t>
      </w:r>
    </w:p>
    <w:p w14:paraId="0A6FF96F" w14:textId="77777777" w:rsidR="00D02E01" w:rsidRPr="00CE112F" w:rsidRDefault="00BD1F69" w:rsidP="004B62DE">
      <w:pPr>
        <w:pStyle w:val="ListParagraph"/>
        <w:numPr>
          <w:ilvl w:val="0"/>
          <w:numId w:val="8"/>
        </w:numPr>
        <w:spacing w:after="0" w:line="259" w:lineRule="auto"/>
        <w:rPr>
          <w:bCs/>
        </w:rPr>
      </w:pPr>
      <w:r w:rsidRPr="004B62DE">
        <w:rPr>
          <w:b/>
          <w:bCs/>
        </w:rPr>
        <w:t>Pan Mersey APC prescribing statement</w:t>
      </w:r>
      <w:r>
        <w:t xml:space="preserve">: </w:t>
      </w:r>
    </w:p>
    <w:p w14:paraId="6B7049F5" w14:textId="1502380E" w:rsidR="00CE112F" w:rsidRPr="00741360" w:rsidRDefault="00926F71" w:rsidP="004B62DE">
      <w:pPr>
        <w:pStyle w:val="apcNormalBullet"/>
        <w:spacing w:after="0"/>
        <w:ind w:left="1434" w:hanging="357"/>
        <w:rPr>
          <w:rStyle w:val="Hyperlink"/>
          <w:bCs/>
          <w:color w:val="auto"/>
          <w:u w:val="none"/>
        </w:rPr>
      </w:pPr>
      <w:hyperlink r:id="rId16" w:history="1">
        <w:r w:rsidR="004B62DE" w:rsidRPr="00741360">
          <w:rPr>
            <w:rStyle w:val="Hyperlink"/>
          </w:rPr>
          <w:t>DAPAGLIFLOZIN tablets (</w:t>
        </w:r>
        <w:proofErr w:type="spellStart"/>
        <w:r w:rsidR="004B62DE" w:rsidRPr="00741360">
          <w:rPr>
            <w:rStyle w:val="Hyperlink"/>
          </w:rPr>
          <w:t>Forxiga</w:t>
        </w:r>
        <w:proofErr w:type="spellEnd"/>
        <w:r w:rsidR="004B62DE" w:rsidRPr="00741360">
          <w:rPr>
            <w:rStyle w:val="Hyperlink"/>
          </w:rPr>
          <w:t>®) for symptomatic chronic heart failure with reduced ejection fraction</w:t>
        </w:r>
      </w:hyperlink>
    </w:p>
    <w:p w14:paraId="0153FCDE" w14:textId="2CD1926F" w:rsidR="00CE112F" w:rsidRPr="00741360" w:rsidRDefault="00926F71" w:rsidP="004B62DE">
      <w:pPr>
        <w:pStyle w:val="apcNormalBullet"/>
        <w:spacing w:after="0"/>
        <w:ind w:left="1434" w:hanging="357"/>
        <w:rPr>
          <w:rStyle w:val="Hyperlink"/>
          <w:bCs/>
          <w:color w:val="auto"/>
          <w:u w:val="none"/>
        </w:rPr>
      </w:pPr>
      <w:hyperlink r:id="rId17" w:history="1">
        <w:r w:rsidR="00AC07C3" w:rsidRPr="00741360">
          <w:rPr>
            <w:rStyle w:val="Hyperlink"/>
          </w:rPr>
          <w:t>EMPAGLIFLOZIN tablets (Jardiance®) for symptomatic chronic heart failure with reduced ejection fraction</w:t>
        </w:r>
      </w:hyperlink>
    </w:p>
    <w:p w14:paraId="0862B5F6" w14:textId="77777777" w:rsidR="004B62DE" w:rsidRDefault="003723E0" w:rsidP="004B62DE">
      <w:pPr>
        <w:pStyle w:val="ListParagraph"/>
        <w:numPr>
          <w:ilvl w:val="0"/>
          <w:numId w:val="8"/>
        </w:numPr>
        <w:spacing w:after="0" w:line="259" w:lineRule="auto"/>
        <w:rPr>
          <w:bCs/>
        </w:rPr>
      </w:pPr>
      <w:r w:rsidRPr="004B62DE">
        <w:rPr>
          <w:b/>
        </w:rPr>
        <w:t xml:space="preserve">Treatment </w:t>
      </w:r>
      <w:r w:rsidR="009179F7" w:rsidRPr="004B62DE">
        <w:rPr>
          <w:b/>
        </w:rPr>
        <w:t>Pathway</w:t>
      </w:r>
      <w:r w:rsidR="00781C47" w:rsidRPr="00CE112F">
        <w:rPr>
          <w:bCs/>
        </w:rPr>
        <w:t xml:space="preserve">: </w:t>
      </w:r>
    </w:p>
    <w:p w14:paraId="35A293C4" w14:textId="3A7E318C" w:rsidR="009179F7" w:rsidRPr="00CE112F" w:rsidRDefault="00926F71" w:rsidP="004B62DE">
      <w:pPr>
        <w:pStyle w:val="apcNormalBullet"/>
        <w:spacing w:after="0"/>
      </w:pPr>
      <w:r>
        <w:fldChar w:fldCharType="begin"/>
      </w:r>
      <w:r w:rsidR="00841160">
        <w:instrText>HYPERLINK "https://www.panmerseyapc.nhs.uk/media/2629/sglt2i_hf_pathway.pdf"</w:instrText>
      </w:r>
      <w:r>
        <w:fldChar w:fldCharType="separate"/>
      </w:r>
      <w:r w:rsidR="00733A61" w:rsidRPr="00CE112F">
        <w:rPr>
          <w:rStyle w:val="Hyperlink"/>
          <w:bCs/>
        </w:rPr>
        <w:t>Pathwa</w:t>
      </w:r>
      <w:r w:rsidR="00733A61" w:rsidRPr="00741360">
        <w:rPr>
          <w:rStyle w:val="Hyperlink"/>
          <w:bCs/>
        </w:rPr>
        <w:t xml:space="preserve">y for the use of </w:t>
      </w:r>
      <w:r w:rsidR="00D02E01" w:rsidRPr="00741360">
        <w:rPr>
          <w:rStyle w:val="Hyperlink"/>
          <w:bCs/>
        </w:rPr>
        <w:t xml:space="preserve">SGLT2 inhibitors </w:t>
      </w:r>
      <w:r w:rsidR="00733A61" w:rsidRPr="00741360">
        <w:rPr>
          <w:rStyle w:val="Hyperlink"/>
          <w:bCs/>
        </w:rPr>
        <w:t>in</w:t>
      </w:r>
      <w:r w:rsidR="00733A61" w:rsidRPr="00CE112F">
        <w:rPr>
          <w:rStyle w:val="Hyperlink"/>
          <w:bCs/>
        </w:rPr>
        <w:t xml:space="preserve"> Heart Failure with Reduced Ejection Fraction (</w:t>
      </w:r>
      <w:proofErr w:type="spellStart"/>
      <w:r w:rsidR="00733A61" w:rsidRPr="00CE112F">
        <w:rPr>
          <w:rStyle w:val="Hyperlink"/>
          <w:bCs/>
        </w:rPr>
        <w:t>HFrEF</w:t>
      </w:r>
      <w:proofErr w:type="spellEnd"/>
      <w:r w:rsidR="00733A61" w:rsidRPr="00CE112F">
        <w:rPr>
          <w:rStyle w:val="Hyperlink"/>
          <w:bCs/>
        </w:rPr>
        <w:t>)</w:t>
      </w:r>
      <w:r>
        <w:rPr>
          <w:rStyle w:val="Hyperlink"/>
          <w:bCs/>
        </w:rPr>
        <w:fldChar w:fldCharType="end"/>
      </w:r>
      <w:r w:rsidR="003723E0" w:rsidRPr="00CE112F">
        <w:t xml:space="preserve"> </w:t>
      </w:r>
    </w:p>
    <w:p w14:paraId="0438871F" w14:textId="77777777" w:rsidR="00463635" w:rsidRPr="00CE112F" w:rsidRDefault="00781C47" w:rsidP="004B62DE">
      <w:pPr>
        <w:pStyle w:val="ListParagraph"/>
        <w:numPr>
          <w:ilvl w:val="0"/>
          <w:numId w:val="8"/>
        </w:numPr>
        <w:spacing w:after="0" w:line="259" w:lineRule="auto"/>
        <w:rPr>
          <w:bCs/>
        </w:rPr>
      </w:pPr>
      <w:r w:rsidRPr="004B62DE">
        <w:rPr>
          <w:b/>
        </w:rPr>
        <w:t>Patient information leaflet</w:t>
      </w:r>
      <w:r w:rsidR="00463635" w:rsidRPr="004B62DE">
        <w:rPr>
          <w:b/>
        </w:rPr>
        <w:t>s</w:t>
      </w:r>
      <w:r w:rsidRPr="00CE112F">
        <w:rPr>
          <w:bCs/>
        </w:rPr>
        <w:t xml:space="preserve">: </w:t>
      </w:r>
    </w:p>
    <w:p w14:paraId="484B3E91" w14:textId="27534620" w:rsidR="00463635" w:rsidRDefault="00926F71" w:rsidP="004B62DE">
      <w:pPr>
        <w:pStyle w:val="apcNormalBullet"/>
        <w:spacing w:after="0"/>
        <w:ind w:left="1434" w:hanging="357"/>
        <w:rPr>
          <w:bCs/>
        </w:rPr>
      </w:pPr>
      <w:hyperlink r:id="rId18" w:history="1">
        <w:r w:rsidR="0070023E" w:rsidRPr="00FB6E31">
          <w:rPr>
            <w:rStyle w:val="Hyperlink"/>
          </w:rPr>
          <w:t xml:space="preserve">Your guide to </w:t>
        </w:r>
        <w:proofErr w:type="spellStart"/>
        <w:r w:rsidR="0070023E" w:rsidRPr="00FB6E31">
          <w:rPr>
            <w:rStyle w:val="Hyperlink"/>
          </w:rPr>
          <w:t>Forxiga</w:t>
        </w:r>
        <w:proofErr w:type="spellEnd"/>
        <w:r w:rsidR="0070023E" w:rsidRPr="00FB6E31">
          <w:rPr>
            <w:rStyle w:val="Hyperlink"/>
          </w:rPr>
          <w:t>® (dapagliflozin) in heart failure with reduced ejection fraction  (</w:t>
        </w:r>
        <w:proofErr w:type="spellStart"/>
        <w:r w:rsidR="0070023E" w:rsidRPr="00FB6E31">
          <w:rPr>
            <w:rStyle w:val="Hyperlink"/>
          </w:rPr>
          <w:t>HFrEF</w:t>
        </w:r>
        <w:proofErr w:type="spellEnd"/>
        <w:r w:rsidR="0070023E" w:rsidRPr="00FB6E31">
          <w:rPr>
            <w:rStyle w:val="Hyperlink"/>
          </w:rPr>
          <w:t>)</w:t>
        </w:r>
      </w:hyperlink>
      <w:r w:rsidR="006646BD">
        <w:t xml:space="preserve"> </w:t>
      </w:r>
      <w:r w:rsidR="006646BD" w:rsidRPr="00F02432">
        <w:t>(AstraZeneca)</w:t>
      </w:r>
    </w:p>
    <w:p w14:paraId="4D5276A4" w14:textId="116A971F" w:rsidR="00CE112F" w:rsidRDefault="00926F71" w:rsidP="004B62DE">
      <w:pPr>
        <w:pStyle w:val="apcNormalBullet"/>
        <w:spacing w:after="0"/>
        <w:ind w:left="1434" w:hanging="357"/>
      </w:pPr>
      <w:hyperlink r:id="rId19" w:history="1">
        <w:r w:rsidR="002E3232" w:rsidRPr="002E3232">
          <w:rPr>
            <w:rStyle w:val="Hyperlink"/>
            <w:bCs/>
          </w:rPr>
          <w:t>JARDIANCE® (empagliflozin)</w:t>
        </w:r>
        <w:r w:rsidR="002E3232" w:rsidRPr="00CE112F">
          <w:rPr>
            <w:rStyle w:val="Hyperlink"/>
          </w:rPr>
          <w:t xml:space="preserve"> and heart failure</w:t>
        </w:r>
      </w:hyperlink>
      <w:r w:rsidR="006646BD">
        <w:t xml:space="preserve"> </w:t>
      </w:r>
      <w:r w:rsidR="006646BD" w:rsidRPr="00F02432">
        <w:t>(Boehringer Ingelheim)</w:t>
      </w:r>
    </w:p>
    <w:p w14:paraId="7029E83F" w14:textId="77777777" w:rsidR="00131755" w:rsidRDefault="00131755" w:rsidP="00131755">
      <w:pPr>
        <w:spacing w:after="0"/>
      </w:pPr>
    </w:p>
    <w:p w14:paraId="44A6F165" w14:textId="43D15978" w:rsidR="00BD50D6" w:rsidRDefault="002A2649" w:rsidP="00131755">
      <w:pPr>
        <w:spacing w:after="0"/>
      </w:pPr>
      <w:r>
        <w:t>Tolerability and volume status should be assessed in 2</w:t>
      </w:r>
      <w:r w:rsidR="00131755">
        <w:t xml:space="preserve"> </w:t>
      </w:r>
      <w:r w:rsidR="00131755" w:rsidRPr="00F02432">
        <w:t>to</w:t>
      </w:r>
      <w:r w:rsidR="00131755">
        <w:t xml:space="preserve"> </w:t>
      </w:r>
      <w:r>
        <w:t>4 weeks</w:t>
      </w:r>
      <w:r w:rsidR="00F44A8A" w:rsidRPr="00F44A8A">
        <w:t xml:space="preserve"> </w:t>
      </w:r>
      <w:r w:rsidR="00F44A8A">
        <w:t xml:space="preserve">with consideration of diuretic adjustment if necessary. </w:t>
      </w:r>
    </w:p>
    <w:p w14:paraId="51622FE7" w14:textId="77777777" w:rsidR="00131755" w:rsidRDefault="00131755" w:rsidP="00131755">
      <w:pPr>
        <w:spacing w:after="0"/>
      </w:pPr>
    </w:p>
    <w:p w14:paraId="3F76C257" w14:textId="041B8FE6" w:rsidR="005166E7" w:rsidRPr="00424009" w:rsidRDefault="00424009" w:rsidP="002A2649">
      <w:r w:rsidRPr="00424009">
        <w:t>A</w:t>
      </w:r>
      <w:r w:rsidR="00D02E01" w:rsidRPr="00424009">
        <w:t xml:space="preserve"> </w:t>
      </w:r>
      <w:r w:rsidR="002A2649" w:rsidRPr="00424009">
        <w:t>transient rise in creatinine (up to 20%) is expected in the first 2 weeks</w:t>
      </w:r>
      <w:r w:rsidR="006E69BE" w:rsidRPr="00424009">
        <w:t xml:space="preserve"> which should not lead to premature discontinuation</w:t>
      </w:r>
      <w:r w:rsidR="004C48EE" w:rsidRPr="00424009">
        <w:t xml:space="preserve">. </w:t>
      </w:r>
    </w:p>
    <w:p w14:paraId="6CBD4D7E" w14:textId="306C2A18" w:rsidR="002A2649" w:rsidRDefault="00D16D86" w:rsidP="002A2649">
      <w:r w:rsidRPr="00424009">
        <w:rPr>
          <w:rFonts w:cstheme="minorHAnsi"/>
          <w:bCs/>
          <w:lang w:eastAsia="en-GB"/>
        </w:rPr>
        <w:lastRenderedPageBreak/>
        <w:t xml:space="preserve">Renal function should be checked </w:t>
      </w:r>
      <w:r w:rsidR="00D10920" w:rsidRPr="00424009">
        <w:rPr>
          <w:rFonts w:cstheme="minorHAnsi"/>
          <w:bCs/>
          <w:lang w:eastAsia="en-GB"/>
        </w:rPr>
        <w:t xml:space="preserve">at least 6 monthly </w:t>
      </w:r>
      <w:r w:rsidRPr="00424009">
        <w:rPr>
          <w:rFonts w:cstheme="minorHAnsi"/>
          <w:bCs/>
          <w:lang w:eastAsia="en-GB"/>
        </w:rPr>
        <w:t>according to heart failure guidelines</w:t>
      </w:r>
      <w:r w:rsidR="00E44F7C" w:rsidRPr="00424009">
        <w:rPr>
          <w:rFonts w:cstheme="minorHAnsi"/>
          <w:bCs/>
          <w:lang w:eastAsia="en-GB"/>
        </w:rPr>
        <w:t>,</w:t>
      </w:r>
      <w:r w:rsidRPr="00424009">
        <w:rPr>
          <w:rFonts w:cstheme="minorHAnsi"/>
          <w:bCs/>
          <w:lang w:eastAsia="en-GB"/>
        </w:rPr>
        <w:t xml:space="preserve"> accounting for other medicines the patient is taking including ACE inhibitors or MRA.</w:t>
      </w:r>
      <w:r>
        <w:rPr>
          <w:rFonts w:cstheme="minorHAnsi"/>
          <w:bCs/>
          <w:lang w:eastAsia="en-GB"/>
        </w:rPr>
        <w:t xml:space="preserve">  </w:t>
      </w:r>
      <w:r w:rsidR="00C61912">
        <w:t>S</w:t>
      </w:r>
      <w:r w:rsidR="002A2649">
        <w:t xml:space="preserve">ee </w:t>
      </w:r>
      <w:hyperlink r:id="rId20" w:history="1">
        <w:r w:rsidR="00DA69E9">
          <w:rPr>
            <w:rStyle w:val="Hyperlink"/>
          </w:rPr>
          <w:t>NICE Guideline [NG106]: Chronic heart failure in adults: diagnosis and management</w:t>
        </w:r>
      </w:hyperlink>
      <w:r w:rsidR="002A2649">
        <w:t xml:space="preserve">.  </w:t>
      </w:r>
    </w:p>
    <w:p w14:paraId="2FF35057" w14:textId="4097B5C2" w:rsidR="0038768C" w:rsidRPr="004103E0" w:rsidRDefault="0038768C" w:rsidP="0038768C">
      <w:pPr>
        <w:rPr>
          <w:u w:val="single"/>
        </w:rPr>
      </w:pPr>
      <w:r w:rsidRPr="009F4C62">
        <w:t>I have discussed</w:t>
      </w:r>
      <w:r w:rsidR="001120E4" w:rsidRPr="009F4C62">
        <w:t xml:space="preserve"> with the patient</w:t>
      </w:r>
      <w:r w:rsidR="004D308D" w:rsidRPr="009F4C62">
        <w:t xml:space="preserve"> / </w:t>
      </w:r>
      <w:r w:rsidR="00932A8D" w:rsidRPr="009F4C62">
        <w:t>Pl</w:t>
      </w:r>
      <w:r w:rsidR="001120E4" w:rsidRPr="009F4C62">
        <w:t>ease discuss</w:t>
      </w:r>
      <w:r w:rsidRPr="009F4C62">
        <w:t xml:space="preserve"> </w:t>
      </w:r>
      <w:r w:rsidR="001120E4" w:rsidRPr="009F4C62">
        <w:t xml:space="preserve">with the patient </w:t>
      </w:r>
      <w:r w:rsidR="001120E4" w:rsidRPr="00C61912">
        <w:rPr>
          <w:b/>
          <w:bCs/>
        </w:rPr>
        <w:t>[delete as appropriate]</w:t>
      </w:r>
      <w:r w:rsidR="001120E4">
        <w:t xml:space="preserve"> </w:t>
      </w:r>
      <w:r w:rsidRPr="0038768C">
        <w:t xml:space="preserve">the </w:t>
      </w:r>
      <w:r w:rsidRPr="00424009">
        <w:t xml:space="preserve">indication of </w:t>
      </w:r>
      <w:r w:rsidR="00501550" w:rsidRPr="00424009">
        <w:t>SGLT2 inhibitors</w:t>
      </w:r>
      <w:r w:rsidRPr="00424009">
        <w:t>,</w:t>
      </w:r>
      <w:r>
        <w:t xml:space="preserve"> </w:t>
      </w:r>
      <w:r w:rsidRPr="0038768C">
        <w:t>risks</w:t>
      </w:r>
      <w:r>
        <w:t xml:space="preserve">, </w:t>
      </w:r>
      <w:r w:rsidRPr="0038768C">
        <w:t>benefits</w:t>
      </w:r>
      <w:r>
        <w:t xml:space="preserve">, </w:t>
      </w:r>
      <w:r w:rsidRPr="0038768C">
        <w:t>side effects</w:t>
      </w:r>
      <w:r>
        <w:t xml:space="preserve"> and </w:t>
      </w:r>
      <w:r w:rsidRPr="0038768C">
        <w:t xml:space="preserve">appropriate action to take </w:t>
      </w:r>
      <w:r>
        <w:t xml:space="preserve">if they occur </w:t>
      </w:r>
      <w:r w:rsidRPr="0038768C">
        <w:t>including</w:t>
      </w:r>
      <w:r>
        <w:t>:</w:t>
      </w:r>
      <w:r w:rsidR="00501550">
        <w:t xml:space="preserve"> </w:t>
      </w:r>
    </w:p>
    <w:p w14:paraId="12A6BA42" w14:textId="0CFA6958" w:rsidR="0038768C" w:rsidRDefault="0077360B">
      <w:pPr>
        <w:pStyle w:val="ListParagraph"/>
        <w:numPr>
          <w:ilvl w:val="0"/>
          <w:numId w:val="4"/>
        </w:numPr>
      </w:pPr>
      <w:r>
        <w:t>S</w:t>
      </w:r>
      <w:r w:rsidR="0038768C" w:rsidRPr="0038768C">
        <w:t xml:space="preserve">ide effects of thrush, increased </w:t>
      </w:r>
      <w:proofErr w:type="gramStart"/>
      <w:r w:rsidR="0038768C" w:rsidRPr="0038768C">
        <w:t>urination</w:t>
      </w:r>
      <w:proofErr w:type="gramEnd"/>
      <w:r w:rsidR="0038768C" w:rsidRPr="0038768C">
        <w:t xml:space="preserve"> and urine tract infections. Rare adverse effects includ</w:t>
      </w:r>
      <w:r w:rsidR="00CB35E9">
        <w:t xml:space="preserve">ing </w:t>
      </w:r>
      <w:r w:rsidR="007006AE">
        <w:t>F</w:t>
      </w:r>
      <w:r w:rsidR="007006AE" w:rsidRPr="0038768C">
        <w:t>ournie</w:t>
      </w:r>
      <w:r w:rsidR="007006AE">
        <w:t>r</w:t>
      </w:r>
      <w:r w:rsidR="007006AE" w:rsidRPr="0038768C">
        <w:t>’s</w:t>
      </w:r>
      <w:r w:rsidR="0038768C" w:rsidRPr="0038768C">
        <w:t xml:space="preserve"> gangrene</w:t>
      </w:r>
      <w:r w:rsidR="009E69FD">
        <w:t xml:space="preserve"> have been kn</w:t>
      </w:r>
      <w:r w:rsidR="00E1668C">
        <w:t>own to occur</w:t>
      </w:r>
      <w:r w:rsidR="0038768C" w:rsidRPr="0038768C">
        <w:t xml:space="preserve">. </w:t>
      </w:r>
      <w:r w:rsidR="004D4CC9">
        <w:t>The patient must maintain</w:t>
      </w:r>
      <w:r w:rsidR="0038768C" w:rsidRPr="0038768C">
        <w:t xml:space="preserve"> good genital hygiene </w:t>
      </w:r>
      <w:r w:rsidR="004D4CC9">
        <w:t>and</w:t>
      </w:r>
      <w:r w:rsidR="0038768C" w:rsidRPr="0038768C">
        <w:t xml:space="preserve"> must immediately report an</w:t>
      </w:r>
      <w:r w:rsidR="005B0745">
        <w:t>y</w:t>
      </w:r>
      <w:r w:rsidR="0038768C" w:rsidRPr="0038768C">
        <w:t xml:space="preserve"> pain or redness in genital area. </w:t>
      </w:r>
    </w:p>
    <w:p w14:paraId="5E54CFD4" w14:textId="58D57DA3" w:rsidR="00464A90" w:rsidRPr="00424009" w:rsidRDefault="0038768C" w:rsidP="00090B7E">
      <w:pPr>
        <w:pStyle w:val="ListParagraph"/>
        <w:numPr>
          <w:ilvl w:val="0"/>
          <w:numId w:val="4"/>
        </w:numPr>
        <w:jc w:val="both"/>
      </w:pPr>
      <w:r w:rsidRPr="0038768C">
        <w:t>I</w:t>
      </w:r>
      <w:r w:rsidR="000E1D8C">
        <w:t xml:space="preserve">f the patient is </w:t>
      </w:r>
      <w:r w:rsidRPr="0038768C">
        <w:t>ill with diarrhoea, vomiting, dehydration, admission for elective surgery or procedure requiring starvation</w:t>
      </w:r>
      <w:r w:rsidR="000E1D8C">
        <w:t>, they must</w:t>
      </w:r>
      <w:r w:rsidRPr="0038768C">
        <w:t xml:space="preserve"> stop taking </w:t>
      </w:r>
      <w:r w:rsidR="00474135" w:rsidRPr="00424009">
        <w:t xml:space="preserve">SGLT2 </w:t>
      </w:r>
      <w:r w:rsidR="00582052" w:rsidRPr="00424009">
        <w:t>inhibitors</w:t>
      </w:r>
      <w:r w:rsidR="00474135" w:rsidRPr="00424009">
        <w:t xml:space="preserve"> </w:t>
      </w:r>
      <w:r w:rsidRPr="00424009">
        <w:t xml:space="preserve">and </w:t>
      </w:r>
      <w:r w:rsidR="00CB35E9" w:rsidRPr="00424009">
        <w:t xml:space="preserve">not </w:t>
      </w:r>
      <w:r w:rsidRPr="00424009">
        <w:t>restart until feeling better and eating/drinking fluids normally</w:t>
      </w:r>
      <w:r w:rsidR="009C379B" w:rsidRPr="00424009">
        <w:t xml:space="preserve"> for at least 24 hours. </w:t>
      </w:r>
    </w:p>
    <w:p w14:paraId="7B439A7E" w14:textId="1141B65A" w:rsidR="007E2647" w:rsidRDefault="00013C90" w:rsidP="00464A90">
      <w:pPr>
        <w:pStyle w:val="ListParagraph"/>
        <w:numPr>
          <w:ilvl w:val="0"/>
          <w:numId w:val="4"/>
        </w:numPr>
        <w:jc w:val="both"/>
      </w:pPr>
      <w:r w:rsidRPr="00424009">
        <w:rPr>
          <w:b/>
          <w:bCs/>
        </w:rPr>
        <w:t>If the patient has diabetes</w:t>
      </w:r>
      <w:r w:rsidRPr="00424009">
        <w:t>, a</w:t>
      </w:r>
      <w:r w:rsidR="009C379B" w:rsidRPr="00424009">
        <w:t>lternative diabetes treatment may be required in the interim</w:t>
      </w:r>
      <w:r w:rsidR="001743C1" w:rsidRPr="00424009">
        <w:t xml:space="preserve"> a</w:t>
      </w:r>
      <w:r w:rsidR="00E72C5C" w:rsidRPr="00424009">
        <w:t>n</w:t>
      </w:r>
      <w:r w:rsidR="001743C1" w:rsidRPr="00424009">
        <w:t xml:space="preserve">d they </w:t>
      </w:r>
      <w:r w:rsidR="000E1D8C" w:rsidRPr="00424009">
        <w:t>must</w:t>
      </w:r>
      <w:r w:rsidR="001743C1" w:rsidRPr="00424009">
        <w:t xml:space="preserve"> contact the clinician looking after their </w:t>
      </w:r>
      <w:r w:rsidR="009C379B" w:rsidRPr="00424009">
        <w:t>diabetes</w:t>
      </w:r>
      <w:r w:rsidR="001743C1" w:rsidRPr="00424009">
        <w:t xml:space="preserve"> </w:t>
      </w:r>
      <w:r w:rsidR="00D02E01" w:rsidRPr="00424009">
        <w:t xml:space="preserve">or appropriate diabetes specialist </w:t>
      </w:r>
      <w:r w:rsidR="001743C1" w:rsidRPr="00424009">
        <w:t>in</w:t>
      </w:r>
      <w:r w:rsidR="001743C1">
        <w:t xml:space="preserve"> such circumstances</w:t>
      </w:r>
      <w:r w:rsidR="009C379B">
        <w:t>.</w:t>
      </w:r>
    </w:p>
    <w:p w14:paraId="20F88C21" w14:textId="177812A3" w:rsidR="00034DE3" w:rsidRPr="002F5412" w:rsidRDefault="00034DE3" w:rsidP="00034DE3">
      <w:r w:rsidRPr="002F5412">
        <w:t xml:space="preserve">I have provided the patient with / </w:t>
      </w:r>
      <w:r w:rsidR="00E46F04" w:rsidRPr="002F5412">
        <w:t>P</w:t>
      </w:r>
      <w:r w:rsidRPr="002F5412">
        <w:t xml:space="preserve">lease provide the patient with </w:t>
      </w:r>
      <w:r w:rsidRPr="00C61912">
        <w:rPr>
          <w:b/>
          <w:bCs/>
        </w:rPr>
        <w:t xml:space="preserve">[delete as appropriate] </w:t>
      </w:r>
      <w:r w:rsidRPr="002F5412">
        <w:t xml:space="preserve">a patient information leaflet for these 'sick days rules' and seeking medical advice if they are acutely unwell. </w:t>
      </w:r>
    </w:p>
    <w:p w14:paraId="77EAB83E" w14:textId="50145F05" w:rsidR="00034DE3" w:rsidRPr="002F5412" w:rsidRDefault="00D55E9B" w:rsidP="00D55E9B">
      <w:pPr>
        <w:jc w:val="both"/>
      </w:pPr>
      <w:r w:rsidRPr="002F5412">
        <w:t>I have di</w:t>
      </w:r>
      <w:r w:rsidRPr="00424009">
        <w:t xml:space="preserve">scussed with the patient / </w:t>
      </w:r>
      <w:r w:rsidR="00E46F04" w:rsidRPr="00424009">
        <w:t>P</w:t>
      </w:r>
      <w:r w:rsidRPr="00424009">
        <w:t xml:space="preserve">lease discuss with the patient </w:t>
      </w:r>
      <w:r w:rsidR="00034DE3" w:rsidRPr="00424009">
        <w:rPr>
          <w:b/>
          <w:bCs/>
        </w:rPr>
        <w:t>[delete as appropriate]</w:t>
      </w:r>
      <w:r w:rsidR="00034DE3" w:rsidRPr="00424009">
        <w:t xml:space="preserve"> </w:t>
      </w:r>
      <w:r w:rsidR="00034DE3" w:rsidRPr="00424009">
        <w:rPr>
          <w:b/>
          <w:bCs/>
        </w:rPr>
        <w:t>i</w:t>
      </w:r>
      <w:r w:rsidRPr="00424009">
        <w:rPr>
          <w:b/>
          <w:bCs/>
        </w:rPr>
        <w:t>f the patient has</w:t>
      </w:r>
      <w:r w:rsidR="00C61912" w:rsidRPr="00424009">
        <w:rPr>
          <w:b/>
          <w:bCs/>
        </w:rPr>
        <w:t xml:space="preserve"> type 2</w:t>
      </w:r>
      <w:r w:rsidRPr="00424009">
        <w:rPr>
          <w:b/>
          <w:bCs/>
        </w:rPr>
        <w:t xml:space="preserve"> diabetes</w:t>
      </w:r>
      <w:r w:rsidR="00034DE3" w:rsidRPr="002F5412">
        <w:t>:</w:t>
      </w:r>
    </w:p>
    <w:p w14:paraId="5B37AE23" w14:textId="77777777" w:rsidR="005B722A" w:rsidRPr="002F5412" w:rsidRDefault="005B722A" w:rsidP="00034DE3">
      <w:pPr>
        <w:pStyle w:val="ListParagraph"/>
        <w:numPr>
          <w:ilvl w:val="0"/>
          <w:numId w:val="4"/>
        </w:numPr>
        <w:jc w:val="both"/>
      </w:pPr>
      <w:r w:rsidRPr="002F5412">
        <w:t>Si</w:t>
      </w:r>
      <w:r w:rsidR="00D55E9B" w:rsidRPr="002F5412">
        <w:t xml:space="preserve">gns and symptoms of diabetic ketoacidosis (DKA) as they may be at risk of DKA even with normal blood glucose levels. </w:t>
      </w:r>
    </w:p>
    <w:p w14:paraId="30B6BE1D" w14:textId="1CEFDFC5" w:rsidR="005B722A" w:rsidRPr="002F5412" w:rsidRDefault="00D55E9B" w:rsidP="005B722A">
      <w:pPr>
        <w:pStyle w:val="ListParagraph"/>
        <w:numPr>
          <w:ilvl w:val="0"/>
          <w:numId w:val="4"/>
        </w:numPr>
        <w:jc w:val="both"/>
      </w:pPr>
      <w:r w:rsidRPr="002F5412">
        <w:t xml:space="preserve">Treatment with </w:t>
      </w:r>
      <w:r w:rsidR="00E81B4B">
        <w:t>SGLT2 inhibitors</w:t>
      </w:r>
      <w:r w:rsidRPr="002F5412">
        <w:t xml:space="preserve"> must be suspended if DKA is suspected or confirmed.</w:t>
      </w:r>
    </w:p>
    <w:p w14:paraId="5DBBA5A0" w14:textId="5E4C75F3" w:rsidR="001C3079" w:rsidRDefault="001C3079" w:rsidP="002D1C49">
      <w:pPr>
        <w:pStyle w:val="NoSpacing"/>
        <w:jc w:val="both"/>
      </w:pPr>
      <w:r w:rsidRPr="00C90BFD">
        <w:t xml:space="preserve">If you have any </w:t>
      </w:r>
      <w:r w:rsidR="00CB35E9" w:rsidRPr="00C90BFD">
        <w:t>questions,</w:t>
      </w:r>
      <w:r w:rsidRPr="00C90BFD">
        <w:t xml:space="preserve"> please do not hesitate to contact one of the heart failure team</w:t>
      </w:r>
      <w:r w:rsidR="005C5FDB">
        <w:t>.</w:t>
      </w:r>
      <w:r w:rsidR="002D1C49">
        <w:t xml:space="preserve"> </w:t>
      </w:r>
    </w:p>
    <w:p w14:paraId="02CDC591" w14:textId="77777777" w:rsidR="001C3079" w:rsidRDefault="001C3079" w:rsidP="002D1C49">
      <w:pPr>
        <w:pStyle w:val="NoSpacing"/>
        <w:jc w:val="both"/>
      </w:pPr>
    </w:p>
    <w:p w14:paraId="2B21085F" w14:textId="1E2C587E" w:rsidR="002D1C49" w:rsidRDefault="002D1C49" w:rsidP="002D1C49">
      <w:pPr>
        <w:pStyle w:val="NoSpacing"/>
        <w:jc w:val="both"/>
      </w:pPr>
      <w:r>
        <w:t>Kind regards</w:t>
      </w:r>
    </w:p>
    <w:p w14:paraId="264B9E1C" w14:textId="3DFD64D3" w:rsidR="002A19F6" w:rsidRDefault="002A19F6" w:rsidP="002D1C49">
      <w:pPr>
        <w:pStyle w:val="NoSpacing"/>
        <w:jc w:val="both"/>
      </w:pPr>
    </w:p>
    <w:p w14:paraId="6534A9F8" w14:textId="30698734" w:rsidR="002A19F6" w:rsidRDefault="002A19F6" w:rsidP="002D1C49">
      <w:pPr>
        <w:pStyle w:val="NoSpacing"/>
        <w:jc w:val="both"/>
      </w:pPr>
    </w:p>
    <w:p w14:paraId="5B74B63F" w14:textId="07A29231" w:rsidR="002A19F6" w:rsidRPr="00E81B4B" w:rsidRDefault="002A19F6" w:rsidP="002D1C49">
      <w:pPr>
        <w:pStyle w:val="NoSpacing"/>
        <w:jc w:val="both"/>
      </w:pPr>
      <w:r w:rsidRPr="00E81B4B">
        <w:t>Specialist Heart Failure Team</w:t>
      </w:r>
    </w:p>
    <w:p w14:paraId="1602A4B7" w14:textId="77777777" w:rsidR="00E44F7C" w:rsidRPr="00E81B4B" w:rsidRDefault="00E44F7C" w:rsidP="002D1C49">
      <w:pPr>
        <w:pStyle w:val="NoSpacing"/>
        <w:jc w:val="both"/>
      </w:pPr>
    </w:p>
    <w:p w14:paraId="2D2B376E" w14:textId="0C5EDBE7" w:rsidR="005166E7" w:rsidRPr="00E81B4B" w:rsidRDefault="00E44F7C" w:rsidP="002D1C49">
      <w:pPr>
        <w:pStyle w:val="NoSpacing"/>
        <w:jc w:val="both"/>
      </w:pPr>
      <w:r w:rsidRPr="00E81B4B">
        <w:t>Name</w:t>
      </w:r>
      <w:r w:rsidR="002A19F6" w:rsidRPr="00E81B4B">
        <w:t xml:space="preserve"> (please print</w:t>
      </w:r>
      <w:proofErr w:type="gramStart"/>
      <w:r w:rsidR="002A19F6" w:rsidRPr="00E81B4B">
        <w:t>)</w:t>
      </w:r>
      <w:r w:rsidRPr="00E81B4B">
        <w:t>:</w:t>
      </w:r>
      <w:r w:rsidR="005166E7" w:rsidRPr="00E81B4B">
        <w:t>…</w:t>
      </w:r>
      <w:proofErr w:type="gramEnd"/>
      <w:r w:rsidR="005166E7" w:rsidRPr="00E81B4B">
        <w:t>………………………………………………</w:t>
      </w:r>
      <w:r w:rsidR="002A19F6" w:rsidRPr="00E81B4B">
        <w:t>…………………………</w:t>
      </w:r>
    </w:p>
    <w:p w14:paraId="5B7D058F" w14:textId="77777777" w:rsidR="002A19F6" w:rsidRPr="00E81B4B" w:rsidRDefault="002A19F6" w:rsidP="002D1C49">
      <w:pPr>
        <w:pStyle w:val="NoSpacing"/>
        <w:jc w:val="both"/>
      </w:pPr>
    </w:p>
    <w:p w14:paraId="38DF3B44" w14:textId="61E588FB" w:rsidR="00E44F7C" w:rsidRPr="00E81B4B" w:rsidRDefault="00E44F7C" w:rsidP="002D1C49">
      <w:pPr>
        <w:pStyle w:val="NoSpacing"/>
        <w:jc w:val="both"/>
      </w:pPr>
      <w:r w:rsidRPr="00E81B4B">
        <w:t xml:space="preserve">Job </w:t>
      </w:r>
      <w:proofErr w:type="gramStart"/>
      <w:r w:rsidRPr="00E81B4B">
        <w:t>title:</w:t>
      </w:r>
      <w:r w:rsidR="002A19F6" w:rsidRPr="00E81B4B">
        <w:t>…</w:t>
      </w:r>
      <w:proofErr w:type="gramEnd"/>
      <w:r w:rsidR="002A19F6" w:rsidRPr="00E81B4B">
        <w:t>…………………………………………………………………………………………..</w:t>
      </w:r>
    </w:p>
    <w:p w14:paraId="08BB32A3" w14:textId="10925BDA" w:rsidR="002A19F6" w:rsidRPr="00E81B4B" w:rsidRDefault="002A19F6" w:rsidP="002D1C49">
      <w:pPr>
        <w:pStyle w:val="NoSpacing"/>
        <w:jc w:val="both"/>
      </w:pPr>
    </w:p>
    <w:p w14:paraId="59DA7C5B" w14:textId="52257608" w:rsidR="002A19F6" w:rsidRPr="00E81B4B" w:rsidRDefault="002A19F6" w:rsidP="002D1C49">
      <w:pPr>
        <w:pStyle w:val="NoSpacing"/>
        <w:jc w:val="both"/>
      </w:pPr>
      <w:r w:rsidRPr="00E81B4B">
        <w:t>Name of responsible consultant (if applicable)………………………………</w:t>
      </w:r>
      <w:proofErr w:type="gramStart"/>
      <w:r w:rsidRPr="00E81B4B">
        <w:t>…..</w:t>
      </w:r>
      <w:proofErr w:type="gramEnd"/>
    </w:p>
    <w:p w14:paraId="6CFF6CA7" w14:textId="77777777" w:rsidR="002A19F6" w:rsidRPr="00E81B4B" w:rsidRDefault="002A19F6" w:rsidP="002D1C49">
      <w:pPr>
        <w:pStyle w:val="NoSpacing"/>
        <w:jc w:val="both"/>
      </w:pPr>
    </w:p>
    <w:p w14:paraId="4C253B7D" w14:textId="0708DAF6" w:rsidR="00E44F7C" w:rsidRPr="00E81B4B" w:rsidRDefault="00E44F7C" w:rsidP="002D1C49">
      <w:pPr>
        <w:pStyle w:val="NoSpacing"/>
        <w:jc w:val="both"/>
      </w:pPr>
      <w:r w:rsidRPr="00E81B4B">
        <w:t xml:space="preserve">Contact telephone </w:t>
      </w:r>
      <w:proofErr w:type="gramStart"/>
      <w:r w:rsidRPr="00E81B4B">
        <w:t>number:</w:t>
      </w:r>
      <w:r w:rsidR="002A19F6" w:rsidRPr="00E81B4B">
        <w:t>…</w:t>
      </w:r>
      <w:proofErr w:type="gramEnd"/>
      <w:r w:rsidR="002A19F6" w:rsidRPr="00E81B4B">
        <w:t>…………………………………………………………….</w:t>
      </w:r>
    </w:p>
    <w:p w14:paraId="54CBDD8E" w14:textId="77777777" w:rsidR="002A19F6" w:rsidRPr="00E81B4B" w:rsidRDefault="002A19F6" w:rsidP="002D1C49">
      <w:pPr>
        <w:pStyle w:val="NoSpacing"/>
        <w:jc w:val="both"/>
      </w:pPr>
    </w:p>
    <w:p w14:paraId="42D1FB81" w14:textId="63F950F7" w:rsidR="00E44F7C" w:rsidRPr="00E81B4B" w:rsidRDefault="00E44F7C" w:rsidP="002D1C49">
      <w:pPr>
        <w:pStyle w:val="NoSpacing"/>
        <w:jc w:val="both"/>
      </w:pPr>
      <w:r w:rsidRPr="00E81B4B">
        <w:t xml:space="preserve">Email </w:t>
      </w:r>
      <w:proofErr w:type="gramStart"/>
      <w:r w:rsidRPr="00E81B4B">
        <w:t>address:</w:t>
      </w:r>
      <w:r w:rsidR="002A19F6" w:rsidRPr="00E81B4B">
        <w:t>…</w:t>
      </w:r>
      <w:proofErr w:type="gramEnd"/>
      <w:r w:rsidR="002A19F6" w:rsidRPr="00E81B4B">
        <w:t>………………………………………………………………………………….</w:t>
      </w:r>
    </w:p>
    <w:p w14:paraId="456EE09C" w14:textId="5985F616" w:rsidR="0038768C" w:rsidRPr="00E81B4B" w:rsidRDefault="0038768C" w:rsidP="002D1C49">
      <w:pPr>
        <w:pStyle w:val="NoSpacing"/>
        <w:jc w:val="both"/>
      </w:pPr>
    </w:p>
    <w:p w14:paraId="361FCC43" w14:textId="02CF03E6" w:rsidR="006A65A9" w:rsidRPr="00E81B4B" w:rsidRDefault="00396AA2" w:rsidP="009C379B">
      <w:pPr>
        <w:pStyle w:val="NoSpacing"/>
        <w:jc w:val="both"/>
      </w:pPr>
      <w:r w:rsidRPr="00E81B4B">
        <w:t>(</w:t>
      </w:r>
      <w:r w:rsidR="00166EA6" w:rsidRPr="00E81B4B">
        <w:t>SIGNED BY PRESCRIBING MEMBER OF HEART SPECIALIST HEART FAILURE TEAM</w:t>
      </w:r>
      <w:r w:rsidRPr="00E81B4B">
        <w:t>)</w:t>
      </w:r>
    </w:p>
    <w:p w14:paraId="5AD53478" w14:textId="77777777" w:rsidR="002A19F6" w:rsidRPr="00E81B4B" w:rsidRDefault="002A19F6" w:rsidP="009C379B">
      <w:pPr>
        <w:pStyle w:val="NoSpacing"/>
        <w:jc w:val="both"/>
      </w:pPr>
    </w:p>
    <w:p w14:paraId="0343083C" w14:textId="582C6F6F" w:rsidR="006A65A9" w:rsidRPr="00E81B4B" w:rsidRDefault="00166EA6" w:rsidP="009C379B">
      <w:pPr>
        <w:pStyle w:val="NoSpacing"/>
        <w:jc w:val="both"/>
        <w:rPr>
          <w:b/>
          <w:bCs/>
        </w:rPr>
      </w:pPr>
      <w:r w:rsidRPr="00E81B4B">
        <w:rPr>
          <w:b/>
          <w:bCs/>
        </w:rPr>
        <w:t>(INSERT CONTACT DETAILS OF THE SPECIALIST HEART FAILURE TEAM</w:t>
      </w:r>
      <w:r w:rsidR="000F1A67" w:rsidRPr="00E81B4B">
        <w:rPr>
          <w:b/>
          <w:bCs/>
        </w:rPr>
        <w:t xml:space="preserve"> AND INCLUDE NAME OF </w:t>
      </w:r>
      <w:r w:rsidR="003F04A3" w:rsidRPr="00E81B4B">
        <w:rPr>
          <w:b/>
          <w:bCs/>
        </w:rPr>
        <w:t>RESPONSIBLE CONSULTANT</w:t>
      </w:r>
      <w:r w:rsidRPr="00E81B4B">
        <w:rPr>
          <w:b/>
          <w:bCs/>
        </w:rPr>
        <w:t>)</w:t>
      </w:r>
      <w:r w:rsidR="006A65A9" w:rsidRPr="00E81B4B">
        <w:rPr>
          <w:b/>
          <w:bCs/>
        </w:rPr>
        <w:t>.</w:t>
      </w:r>
    </w:p>
    <w:p w14:paraId="56E5E228" w14:textId="4C220D7E" w:rsidR="00A40402" w:rsidRDefault="00A40402" w:rsidP="009C379B">
      <w:pPr>
        <w:pStyle w:val="NoSpacing"/>
        <w:pBdr>
          <w:bottom w:val="single" w:sz="6" w:space="1" w:color="auto"/>
        </w:pBdr>
        <w:jc w:val="both"/>
      </w:pPr>
    </w:p>
    <w:p w14:paraId="00ED4D4A" w14:textId="16F5BE76" w:rsidR="00E9754F" w:rsidRDefault="00E9754F" w:rsidP="009C379B">
      <w:pPr>
        <w:pStyle w:val="NoSpacing"/>
        <w:jc w:val="both"/>
      </w:pPr>
    </w:p>
    <w:p w14:paraId="6C98608C" w14:textId="5DB54560" w:rsidR="002A19F6" w:rsidRPr="002A19F6" w:rsidRDefault="002A19F6" w:rsidP="009C379B">
      <w:pPr>
        <w:pStyle w:val="NoSpacing"/>
        <w:jc w:val="both"/>
        <w:rPr>
          <w:b/>
          <w:bCs/>
          <w:u w:val="single"/>
        </w:rPr>
      </w:pPr>
      <w:r w:rsidRPr="00E81B4B">
        <w:rPr>
          <w:b/>
          <w:bCs/>
          <w:u w:val="single"/>
        </w:rPr>
        <w:t>SGLT2 inhibitor</w:t>
      </w:r>
      <w:r w:rsidR="00F2555F" w:rsidRPr="00E81B4B">
        <w:rPr>
          <w:b/>
          <w:bCs/>
          <w:u w:val="single"/>
        </w:rPr>
        <w:t>s</w:t>
      </w:r>
      <w:r w:rsidR="008318F6" w:rsidRPr="00E81B4B">
        <w:rPr>
          <w:b/>
          <w:bCs/>
          <w:u w:val="single"/>
        </w:rPr>
        <w:t xml:space="preserve"> in </w:t>
      </w:r>
      <w:proofErr w:type="spellStart"/>
      <w:r w:rsidR="00F2555F" w:rsidRPr="00E81B4B">
        <w:rPr>
          <w:b/>
          <w:bCs/>
          <w:u w:val="single"/>
        </w:rPr>
        <w:t>HFrE</w:t>
      </w:r>
      <w:r w:rsidR="009774C2">
        <w:rPr>
          <w:b/>
          <w:bCs/>
          <w:u w:val="single"/>
        </w:rPr>
        <w:t>F</w:t>
      </w:r>
      <w:proofErr w:type="spellEnd"/>
      <w:r w:rsidR="008318F6" w:rsidRPr="00E81B4B">
        <w:rPr>
          <w:b/>
          <w:bCs/>
          <w:u w:val="single"/>
        </w:rPr>
        <w:t xml:space="preserve">: </w:t>
      </w:r>
      <w:r w:rsidRPr="00E81B4B">
        <w:rPr>
          <w:b/>
          <w:bCs/>
          <w:u w:val="single"/>
        </w:rPr>
        <w:t xml:space="preserve"> </w:t>
      </w:r>
      <w:r w:rsidR="008318F6" w:rsidRPr="00E81B4B">
        <w:rPr>
          <w:b/>
          <w:bCs/>
          <w:u w:val="single"/>
        </w:rPr>
        <w:t>P</w:t>
      </w:r>
      <w:r w:rsidRPr="00E81B4B">
        <w:rPr>
          <w:b/>
          <w:bCs/>
          <w:u w:val="single"/>
        </w:rPr>
        <w:t>re-prescribing checklist</w:t>
      </w:r>
    </w:p>
    <w:p w14:paraId="011F22CE" w14:textId="77777777" w:rsidR="005166E7" w:rsidRDefault="005166E7" w:rsidP="009C379B">
      <w:pPr>
        <w:pStyle w:val="NoSpacing"/>
        <w:jc w:val="both"/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3"/>
        <w:gridCol w:w="861"/>
      </w:tblGrid>
      <w:tr w:rsidR="00A40402" w14:paraId="03FCF6F3" w14:textId="77777777" w:rsidTr="00A6714C">
        <w:tc>
          <w:tcPr>
            <w:tcW w:w="5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284DEA" w14:textId="505B676B" w:rsidR="00A40402" w:rsidRDefault="00A40402">
            <w:pPr>
              <w:autoSpaceDE w:val="0"/>
              <w:autoSpaceDN w:val="0"/>
              <w:spacing w:after="0" w:line="240" w:lineRule="auto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 w:cs="Calibri"/>
                <w:b/>
                <w:bCs/>
              </w:rPr>
              <w:t xml:space="preserve">Pre-prescribing </w:t>
            </w:r>
            <w:r w:rsidRPr="00A6714C">
              <w:rPr>
                <w:rFonts w:ascii="Calibri" w:eastAsia="SimSun" w:hAnsi="Calibri" w:cs="Calibri"/>
                <w:b/>
                <w:bCs/>
                <w:i/>
                <w:iCs/>
              </w:rPr>
              <w:t>checklist</w:t>
            </w:r>
          </w:p>
        </w:tc>
        <w:tc>
          <w:tcPr>
            <w:tcW w:w="8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41DE61" w14:textId="77777777" w:rsidR="00A40402" w:rsidRDefault="00A40402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 w:cs="Calibri"/>
                <w:color w:val="000000"/>
              </w:rPr>
              <w:t>Check</w:t>
            </w:r>
          </w:p>
        </w:tc>
      </w:tr>
      <w:tr w:rsidR="00A40402" w14:paraId="668E37EB" w14:textId="77777777" w:rsidTr="00A40402">
        <w:tc>
          <w:tcPr>
            <w:tcW w:w="5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9A753D" w14:textId="0E7778B7" w:rsidR="00A40402" w:rsidRPr="00E81B4B" w:rsidRDefault="00A40402">
            <w:pPr>
              <w:autoSpaceDE w:val="0"/>
              <w:autoSpaceDN w:val="0"/>
              <w:spacing w:after="0" w:line="240" w:lineRule="auto"/>
              <w:contextualSpacing/>
              <w:rPr>
                <w:rFonts w:ascii="Calibri" w:eastAsia="SimSun" w:hAnsi="Calibri" w:cs="Calibri"/>
              </w:rPr>
            </w:pPr>
            <w:r w:rsidRPr="00E81B4B">
              <w:rPr>
                <w:rFonts w:ascii="Calibri" w:eastAsia="SimSun" w:hAnsi="Calibri" w:cs="Calibri"/>
              </w:rPr>
              <w:t>eGFR is ≥25</w:t>
            </w:r>
            <w:r w:rsidR="00BF42B5" w:rsidRPr="00E81B4B">
              <w:rPr>
                <w:rFonts w:ascii="Calibri" w:eastAsia="SimSun" w:hAnsi="Calibri" w:cs="Calibri"/>
              </w:rPr>
              <w:t xml:space="preserve"> mL/min</w:t>
            </w:r>
            <w:r w:rsidR="00D02E01" w:rsidRPr="00E81B4B">
              <w:rPr>
                <w:rFonts w:ascii="Calibri" w:eastAsia="SimSun" w:hAnsi="Calibri" w:cs="Calibri"/>
              </w:rPr>
              <w:t xml:space="preserve"> for dapagliflozin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90580A" w14:textId="77777777" w:rsidR="00A40402" w:rsidRDefault="00A40402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 w:cs="Calibri"/>
              </w:rPr>
              <w:t>□</w:t>
            </w:r>
          </w:p>
        </w:tc>
      </w:tr>
      <w:tr w:rsidR="00D02E01" w14:paraId="2FEADECB" w14:textId="77777777" w:rsidTr="00A40402">
        <w:tc>
          <w:tcPr>
            <w:tcW w:w="5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8C8E3A" w14:textId="3E2C1C05" w:rsidR="00D02E01" w:rsidRPr="00E81B4B" w:rsidRDefault="00D02E01">
            <w:pPr>
              <w:autoSpaceDE w:val="0"/>
              <w:autoSpaceDN w:val="0"/>
              <w:spacing w:after="0" w:line="240" w:lineRule="auto"/>
              <w:contextualSpacing/>
              <w:rPr>
                <w:rFonts w:ascii="Calibri" w:eastAsia="SimSun" w:hAnsi="Calibri" w:cs="Calibri"/>
              </w:rPr>
            </w:pPr>
            <w:r w:rsidRPr="00E81B4B">
              <w:rPr>
                <w:rFonts w:ascii="Calibri" w:eastAsia="SimSun" w:hAnsi="Calibri" w:cs="Calibri"/>
              </w:rPr>
              <w:t>eGFR ≥ 20ml/min for empagliflozin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38FA66" w14:textId="5599F5CC" w:rsidR="00D02E01" w:rsidRDefault="00D02E01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 w:cs="Calibri"/>
              </w:rPr>
              <w:t>□</w:t>
            </w:r>
          </w:p>
        </w:tc>
      </w:tr>
      <w:tr w:rsidR="00A40402" w14:paraId="74AF85D1" w14:textId="77777777" w:rsidTr="00A40402">
        <w:tc>
          <w:tcPr>
            <w:tcW w:w="5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042CBA" w14:textId="15010708" w:rsidR="00A40402" w:rsidRPr="00E81B4B" w:rsidRDefault="00A40402">
            <w:pPr>
              <w:autoSpaceDE w:val="0"/>
              <w:autoSpaceDN w:val="0"/>
              <w:spacing w:after="0" w:line="240" w:lineRule="auto"/>
              <w:contextualSpacing/>
              <w:rPr>
                <w:rFonts w:ascii="Calibri" w:eastAsia="SimSun" w:hAnsi="Calibri" w:cs="Calibri"/>
              </w:rPr>
            </w:pPr>
            <w:r w:rsidRPr="00E81B4B">
              <w:rPr>
                <w:rFonts w:ascii="Calibri" w:eastAsia="SimSun" w:hAnsi="Calibri" w:cs="Calibri"/>
              </w:rPr>
              <w:t>no critical limb ischaemia</w:t>
            </w:r>
            <w:r w:rsidR="00A531BC" w:rsidRPr="00E81B4B">
              <w:rPr>
                <w:rFonts w:ascii="Calibri" w:eastAsia="SimSun" w:hAnsi="Calibri" w:cs="Calibri"/>
              </w:rPr>
              <w:t xml:space="preserve"> (discuss with specialist)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34CD2A" w14:textId="77777777" w:rsidR="00A40402" w:rsidRDefault="00A40402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 w:cs="Calibri"/>
              </w:rPr>
              <w:t>□</w:t>
            </w:r>
          </w:p>
        </w:tc>
      </w:tr>
      <w:tr w:rsidR="00A40402" w14:paraId="1F2A1823" w14:textId="77777777" w:rsidTr="00A40402">
        <w:tc>
          <w:tcPr>
            <w:tcW w:w="5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ADA0A9" w14:textId="77777777" w:rsidR="00A40402" w:rsidRPr="00E81B4B" w:rsidRDefault="00A40402">
            <w:pPr>
              <w:autoSpaceDE w:val="0"/>
              <w:autoSpaceDN w:val="0"/>
              <w:spacing w:after="0" w:line="240" w:lineRule="auto"/>
              <w:contextualSpacing/>
              <w:rPr>
                <w:rFonts w:ascii="Calibri" w:eastAsia="SimSun" w:hAnsi="Calibri" w:cs="Calibri"/>
              </w:rPr>
            </w:pPr>
            <w:r w:rsidRPr="00E81B4B">
              <w:rPr>
                <w:rFonts w:ascii="Calibri" w:eastAsia="SimSun" w:hAnsi="Calibri" w:cs="Calibri"/>
              </w:rPr>
              <w:t>no prior allergy or intolerance to SGLT2 inhibitors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F91F13" w14:textId="77777777" w:rsidR="00A40402" w:rsidRDefault="00A40402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 w:cs="Calibri"/>
              </w:rPr>
              <w:t>□</w:t>
            </w:r>
          </w:p>
        </w:tc>
      </w:tr>
      <w:tr w:rsidR="00A40402" w14:paraId="73F61929" w14:textId="77777777" w:rsidTr="00A40402">
        <w:tc>
          <w:tcPr>
            <w:tcW w:w="5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ECB07C" w14:textId="7CC47412" w:rsidR="00A40402" w:rsidRPr="00E81B4B" w:rsidRDefault="00A40402">
            <w:pPr>
              <w:autoSpaceDE w:val="0"/>
              <w:autoSpaceDN w:val="0"/>
              <w:spacing w:after="0" w:line="240" w:lineRule="auto"/>
              <w:contextualSpacing/>
              <w:rPr>
                <w:rFonts w:ascii="Calibri" w:eastAsia="SimSun" w:hAnsi="Calibri" w:cs="Calibri"/>
              </w:rPr>
            </w:pPr>
            <w:r w:rsidRPr="00E81B4B">
              <w:rPr>
                <w:rFonts w:ascii="Calibri" w:eastAsia="SimSun" w:hAnsi="Calibri" w:cs="Calibri"/>
              </w:rPr>
              <w:t>no previous pancreatitis</w:t>
            </w:r>
            <w:r w:rsidR="00D138AF" w:rsidRPr="00E81B4B">
              <w:rPr>
                <w:rFonts w:ascii="Calibri" w:eastAsia="SimSun" w:hAnsi="Calibri" w:cs="Calibri"/>
              </w:rPr>
              <w:t xml:space="preserve"> (discuss with specialist)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3B609D" w14:textId="77777777" w:rsidR="00A40402" w:rsidRDefault="00A40402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 w:cs="Calibri"/>
              </w:rPr>
              <w:t>□</w:t>
            </w:r>
          </w:p>
        </w:tc>
      </w:tr>
      <w:tr w:rsidR="00A40402" w14:paraId="214D7483" w14:textId="77777777" w:rsidTr="00A40402">
        <w:tc>
          <w:tcPr>
            <w:tcW w:w="5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302797" w14:textId="77777777" w:rsidR="00A40402" w:rsidRPr="00E81B4B" w:rsidRDefault="00A40402">
            <w:pPr>
              <w:autoSpaceDE w:val="0"/>
              <w:autoSpaceDN w:val="0"/>
              <w:spacing w:after="0" w:line="240" w:lineRule="auto"/>
              <w:contextualSpacing/>
              <w:rPr>
                <w:rFonts w:ascii="Calibri" w:eastAsia="SimSun" w:hAnsi="Calibri" w:cs="Calibri"/>
              </w:rPr>
            </w:pPr>
            <w:r w:rsidRPr="00E81B4B">
              <w:rPr>
                <w:rFonts w:ascii="Calibri" w:eastAsia="SimSun" w:hAnsi="Calibri" w:cs="Calibri"/>
              </w:rPr>
              <w:t>no evidence of acute volume depletion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6BA2B3" w14:textId="77777777" w:rsidR="00A40402" w:rsidRDefault="00A40402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 w:cs="Calibri"/>
              </w:rPr>
              <w:t>□</w:t>
            </w:r>
          </w:p>
        </w:tc>
      </w:tr>
      <w:tr w:rsidR="00A40402" w14:paraId="76FF8C41" w14:textId="77777777" w:rsidTr="00A40402">
        <w:tc>
          <w:tcPr>
            <w:tcW w:w="5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7B8402" w14:textId="77777777" w:rsidR="00A40402" w:rsidRDefault="00A40402">
            <w:pPr>
              <w:autoSpaceDE w:val="0"/>
              <w:autoSpaceDN w:val="0"/>
              <w:spacing w:after="0" w:line="240" w:lineRule="auto"/>
              <w:contextualSpacing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 w:cs="Calibri"/>
              </w:rPr>
              <w:t>blood pressure within acceptable limits (SBP &gt;95mmHg)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83FFF8" w14:textId="77777777" w:rsidR="00A40402" w:rsidRDefault="00A40402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 w:cs="Calibri"/>
              </w:rPr>
              <w:t>□</w:t>
            </w:r>
          </w:p>
        </w:tc>
      </w:tr>
      <w:tr w:rsidR="00A40402" w14:paraId="18796DD4" w14:textId="77777777" w:rsidTr="00A40402">
        <w:tc>
          <w:tcPr>
            <w:tcW w:w="5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B49E89" w14:textId="77777777" w:rsidR="00A40402" w:rsidRDefault="00A40402">
            <w:pPr>
              <w:autoSpaceDE w:val="0"/>
              <w:autoSpaceDN w:val="0"/>
              <w:spacing w:after="0" w:line="240" w:lineRule="auto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 w:cs="Calibri"/>
                <w:color w:val="000000"/>
              </w:rPr>
              <w:t>Baseline blood tests available: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32D099" w14:textId="77777777" w:rsidR="00A40402" w:rsidRDefault="00A40402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SimSun" w:hAnsi="Calibri" w:cs="Calibri"/>
              </w:rPr>
            </w:pPr>
          </w:p>
        </w:tc>
      </w:tr>
      <w:tr w:rsidR="00A40402" w14:paraId="14FDFD57" w14:textId="77777777" w:rsidTr="00A40402">
        <w:tc>
          <w:tcPr>
            <w:tcW w:w="5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77153E" w14:textId="193EE3FA" w:rsidR="00A40402" w:rsidRDefault="00A40402">
            <w:pPr>
              <w:autoSpaceDE w:val="0"/>
              <w:autoSpaceDN w:val="0"/>
              <w:spacing w:after="0" w:line="240" w:lineRule="auto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 w:cs="Calibri"/>
              </w:rPr>
              <w:t>U&amp;</w:t>
            </w:r>
            <w:r w:rsidRPr="00E81B4B">
              <w:rPr>
                <w:rFonts w:ascii="Calibri" w:eastAsia="SimSun" w:hAnsi="Calibri" w:cs="Calibri"/>
              </w:rPr>
              <w:t>Es (don’t start if eGFR is &lt;25</w:t>
            </w:r>
            <w:r w:rsidR="00BF42B5" w:rsidRPr="00E81B4B">
              <w:rPr>
                <w:rFonts w:ascii="Calibri" w:eastAsia="SimSun" w:hAnsi="Calibri" w:cs="Calibri"/>
              </w:rPr>
              <w:t xml:space="preserve"> mL/min</w:t>
            </w:r>
            <w:r w:rsidR="00D02E01" w:rsidRPr="00E81B4B">
              <w:rPr>
                <w:rFonts w:ascii="Calibri" w:eastAsia="SimSun" w:hAnsi="Calibri" w:cs="Calibri"/>
              </w:rPr>
              <w:t xml:space="preserve"> for dapagliflozin / &lt;20ml/min for empagliflozin</w:t>
            </w:r>
            <w:r w:rsidRPr="00E81B4B">
              <w:rPr>
                <w:rFonts w:ascii="Calibri" w:eastAsia="SimSun" w:hAnsi="Calibri" w:cs="Calibri"/>
              </w:rPr>
              <w:t>)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7699FB" w14:textId="77777777" w:rsidR="00A40402" w:rsidRDefault="00A40402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 w:cs="Calibri"/>
              </w:rPr>
              <w:t>□</w:t>
            </w:r>
          </w:p>
        </w:tc>
      </w:tr>
      <w:tr w:rsidR="00A40402" w14:paraId="630CC00C" w14:textId="77777777" w:rsidTr="00A6714C">
        <w:tc>
          <w:tcPr>
            <w:tcW w:w="5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ECAD32" w14:textId="77777777" w:rsidR="00A40402" w:rsidRDefault="00A40402">
            <w:pPr>
              <w:autoSpaceDE w:val="0"/>
              <w:autoSpaceDN w:val="0"/>
              <w:spacing w:after="0" w:line="240" w:lineRule="auto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 w:cs="Calibri"/>
              </w:rPr>
              <w:t>FBC (haematocrit not raised)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BD5905" w14:textId="77777777" w:rsidR="00A40402" w:rsidRDefault="00A40402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 w:cs="Calibri"/>
              </w:rPr>
              <w:t>□</w:t>
            </w:r>
          </w:p>
        </w:tc>
      </w:tr>
      <w:tr w:rsidR="00A40402" w14:paraId="70EE46D5" w14:textId="77777777" w:rsidTr="00A40402">
        <w:tc>
          <w:tcPr>
            <w:tcW w:w="5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308524" w14:textId="5801A83B" w:rsidR="00A40402" w:rsidRDefault="00A40402">
            <w:pPr>
              <w:autoSpaceDE w:val="0"/>
              <w:autoSpaceDN w:val="0"/>
              <w:spacing w:after="0" w:line="240" w:lineRule="auto"/>
              <w:rPr>
                <w:rFonts w:ascii="Calibri" w:eastAsia="SimSun" w:hAnsi="Calibri" w:cs="Calibri"/>
              </w:rPr>
            </w:pPr>
            <w:r w:rsidRPr="00E81B4B">
              <w:rPr>
                <w:rFonts w:ascii="Calibri" w:eastAsia="SimSun" w:hAnsi="Calibri" w:cs="Calibri"/>
              </w:rPr>
              <w:t>LFTs (</w:t>
            </w:r>
            <w:r w:rsidR="00E81B4B" w:rsidRPr="00E81B4B">
              <w:rPr>
                <w:rFonts w:ascii="Calibri" w:eastAsia="SimSun" w:hAnsi="Calibri" w:cs="Calibri"/>
              </w:rPr>
              <w:t>d</w:t>
            </w:r>
            <w:r w:rsidR="00D02E01" w:rsidRPr="00E81B4B">
              <w:rPr>
                <w:rFonts w:ascii="Calibri" w:eastAsia="SimSun" w:hAnsi="Calibri" w:cs="Calibri"/>
              </w:rPr>
              <w:t xml:space="preserve">apagliflozin </w:t>
            </w:r>
            <w:r w:rsidR="00501550" w:rsidRPr="00E81B4B">
              <w:rPr>
                <w:rFonts w:ascii="Calibri" w:eastAsia="SimSun" w:hAnsi="Calibri" w:cs="Calibri"/>
              </w:rPr>
              <w:t>starting dose 5mg</w:t>
            </w:r>
            <w:r w:rsidRPr="00E81B4B">
              <w:rPr>
                <w:rFonts w:ascii="Calibri" w:eastAsia="SimSun" w:hAnsi="Calibri" w:cs="Calibri"/>
              </w:rPr>
              <w:t xml:space="preserve"> in severe hepatic impairment</w:t>
            </w:r>
            <w:r w:rsidR="00501550" w:rsidRPr="00E81B4B">
              <w:rPr>
                <w:rFonts w:ascii="Calibri" w:eastAsia="SimSun" w:hAnsi="Calibri" w:cs="Calibri"/>
              </w:rPr>
              <w:t>, empagliflozin not recommended</w:t>
            </w:r>
            <w:r w:rsidR="00F2555F" w:rsidRPr="00E81B4B">
              <w:rPr>
                <w:rFonts w:ascii="Calibri" w:eastAsia="SimSun" w:hAnsi="Calibri" w:cs="Calibri"/>
              </w:rPr>
              <w:t xml:space="preserve"> in severe hepatic impairment</w:t>
            </w:r>
            <w:r w:rsidRPr="00E81B4B">
              <w:rPr>
                <w:rFonts w:ascii="Calibri" w:eastAsia="SimSun" w:hAnsi="Calibri" w:cs="Calibri"/>
              </w:rPr>
              <w:t>)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70AECA" w14:textId="77777777" w:rsidR="00A40402" w:rsidRDefault="00A40402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 w:cs="Calibri"/>
              </w:rPr>
              <w:t>□</w:t>
            </w:r>
          </w:p>
        </w:tc>
      </w:tr>
      <w:tr w:rsidR="00A40402" w14:paraId="2E2E0687" w14:textId="77777777" w:rsidTr="00A40402">
        <w:tc>
          <w:tcPr>
            <w:tcW w:w="5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205637" w14:textId="77777777" w:rsidR="00A40402" w:rsidRDefault="00A40402">
            <w:pPr>
              <w:autoSpaceDE w:val="0"/>
              <w:autoSpaceDN w:val="0"/>
              <w:spacing w:after="0" w:line="240" w:lineRule="auto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 w:cs="Calibri"/>
              </w:rPr>
              <w:t>HbA1c (refer to pathway)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9820C4" w14:textId="77777777" w:rsidR="00A40402" w:rsidRDefault="00A40402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 w:cs="Calibri"/>
              </w:rPr>
              <w:t>□</w:t>
            </w:r>
          </w:p>
        </w:tc>
      </w:tr>
      <w:tr w:rsidR="00A40402" w14:paraId="7D75A6E6" w14:textId="77777777" w:rsidTr="00A40402">
        <w:tc>
          <w:tcPr>
            <w:tcW w:w="5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BD2C8E" w14:textId="77777777" w:rsidR="00A40402" w:rsidRDefault="00A40402">
            <w:pPr>
              <w:autoSpaceDE w:val="0"/>
              <w:autoSpaceDN w:val="0"/>
              <w:spacing w:after="0" w:line="240" w:lineRule="auto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 w:cs="Calibri"/>
                <w:color w:val="000000"/>
              </w:rPr>
              <w:t>Patient education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631051" w14:textId="77777777" w:rsidR="00A40402" w:rsidRDefault="00A40402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SimSun" w:hAnsi="Calibri" w:cs="Calibri"/>
              </w:rPr>
            </w:pPr>
          </w:p>
        </w:tc>
      </w:tr>
      <w:tr w:rsidR="00A40402" w14:paraId="1848B5DB" w14:textId="77777777" w:rsidTr="00A40402">
        <w:tc>
          <w:tcPr>
            <w:tcW w:w="5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90BD97" w14:textId="77777777" w:rsidR="00A40402" w:rsidRDefault="00A40402">
            <w:pPr>
              <w:autoSpaceDE w:val="0"/>
              <w:autoSpaceDN w:val="0"/>
              <w:spacing w:after="0" w:line="240" w:lineRule="auto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 w:cs="Calibri"/>
              </w:rPr>
              <w:t>Urinary and genital infections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C62365" w14:textId="77777777" w:rsidR="00A40402" w:rsidRDefault="00A40402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 w:cs="Calibri"/>
              </w:rPr>
              <w:t>□</w:t>
            </w:r>
          </w:p>
        </w:tc>
      </w:tr>
      <w:tr w:rsidR="00A40402" w14:paraId="5B30B38A" w14:textId="77777777" w:rsidTr="00A40402">
        <w:tc>
          <w:tcPr>
            <w:tcW w:w="5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755612" w14:textId="44588EB4" w:rsidR="00A40402" w:rsidRDefault="00A40402">
            <w:pPr>
              <w:autoSpaceDE w:val="0"/>
              <w:autoSpaceDN w:val="0"/>
              <w:spacing w:after="0" w:line="240" w:lineRule="auto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 w:cs="Calibri"/>
              </w:rPr>
              <w:t>DKA (patie</w:t>
            </w:r>
            <w:r w:rsidRPr="00E81B4B">
              <w:rPr>
                <w:rFonts w:ascii="Calibri" w:eastAsia="SimSun" w:hAnsi="Calibri" w:cs="Calibri"/>
              </w:rPr>
              <w:t xml:space="preserve">nts with </w:t>
            </w:r>
            <w:r w:rsidR="00F2555F" w:rsidRPr="00E81B4B">
              <w:rPr>
                <w:rFonts w:ascii="Calibri" w:eastAsia="SimSun" w:hAnsi="Calibri" w:cs="Calibri"/>
              </w:rPr>
              <w:t xml:space="preserve">type 2 </w:t>
            </w:r>
            <w:r w:rsidRPr="00E81B4B">
              <w:rPr>
                <w:rFonts w:ascii="Calibri" w:eastAsia="SimSun" w:hAnsi="Calibri" w:cs="Calibri"/>
              </w:rPr>
              <w:t>diabetes</w:t>
            </w:r>
            <w:r>
              <w:rPr>
                <w:rFonts w:ascii="Calibri" w:eastAsia="SimSun" w:hAnsi="Calibri" w:cs="Calibri"/>
              </w:rPr>
              <w:t xml:space="preserve"> only)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73BD45" w14:textId="77777777" w:rsidR="00A40402" w:rsidRDefault="00A40402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 w:cs="Calibri"/>
              </w:rPr>
              <w:t>□</w:t>
            </w:r>
          </w:p>
        </w:tc>
      </w:tr>
      <w:tr w:rsidR="00A40402" w14:paraId="29F65564" w14:textId="77777777" w:rsidTr="00A40402">
        <w:tc>
          <w:tcPr>
            <w:tcW w:w="5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64AD2A" w14:textId="77777777" w:rsidR="00A40402" w:rsidRDefault="00A40402">
            <w:pPr>
              <w:autoSpaceDE w:val="0"/>
              <w:autoSpaceDN w:val="0"/>
              <w:spacing w:after="0" w:line="240" w:lineRule="auto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 w:cs="Calibri"/>
              </w:rPr>
              <w:t>Sick day rules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542404" w14:textId="77777777" w:rsidR="00A40402" w:rsidRDefault="00A40402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 w:cs="Calibri"/>
              </w:rPr>
              <w:t>□</w:t>
            </w:r>
          </w:p>
        </w:tc>
      </w:tr>
      <w:tr w:rsidR="00A40402" w14:paraId="33F8D106" w14:textId="77777777" w:rsidTr="00A40402">
        <w:tc>
          <w:tcPr>
            <w:tcW w:w="5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36B00C" w14:textId="3B1230F0" w:rsidR="00A40402" w:rsidRDefault="00A40402">
            <w:pPr>
              <w:autoSpaceDE w:val="0"/>
              <w:autoSpaceDN w:val="0"/>
              <w:spacing w:after="0" w:line="240" w:lineRule="auto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 w:cs="Calibri"/>
              </w:rPr>
              <w:t>Patient information leaflet</w:t>
            </w:r>
            <w:r w:rsidR="00E81B4B">
              <w:rPr>
                <w:rFonts w:ascii="Calibri" w:eastAsia="SimSun" w:hAnsi="Calibri" w:cs="Calibri"/>
              </w:rPr>
              <w:t xml:space="preserve"> </w:t>
            </w:r>
            <w:r>
              <w:rPr>
                <w:rFonts w:ascii="Calibri" w:eastAsia="SimSun" w:hAnsi="Calibri" w:cs="Calibri"/>
              </w:rPr>
              <w:t>issued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0CAA94" w14:textId="77777777" w:rsidR="00A40402" w:rsidRDefault="00A40402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 w:cs="Calibri"/>
              </w:rPr>
              <w:t>□</w:t>
            </w:r>
          </w:p>
        </w:tc>
      </w:tr>
    </w:tbl>
    <w:p w14:paraId="00FB2BEF" w14:textId="77777777" w:rsidR="00A40402" w:rsidRDefault="00A40402" w:rsidP="009C379B">
      <w:pPr>
        <w:pStyle w:val="NoSpacing"/>
        <w:jc w:val="both"/>
      </w:pPr>
    </w:p>
    <w:sectPr w:rsidR="00A40402" w:rsidSect="00B81849">
      <w:headerReference w:type="default" r:id="rId21"/>
      <w:footerReference w:type="default" r:id="rId22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8E6E1" w14:textId="77777777" w:rsidR="00901813" w:rsidRDefault="00901813" w:rsidP="00E961F6">
      <w:pPr>
        <w:spacing w:after="0" w:line="240" w:lineRule="auto"/>
      </w:pPr>
      <w:r>
        <w:separator/>
      </w:r>
    </w:p>
  </w:endnote>
  <w:endnote w:type="continuationSeparator" w:id="0">
    <w:p w14:paraId="61D0DBFD" w14:textId="77777777" w:rsidR="00901813" w:rsidRDefault="00901813" w:rsidP="00E961F6">
      <w:pPr>
        <w:spacing w:after="0" w:line="240" w:lineRule="auto"/>
      </w:pPr>
      <w:r>
        <w:continuationSeparator/>
      </w:r>
    </w:p>
  </w:endnote>
  <w:endnote w:type="continuationNotice" w:id="1">
    <w:p w14:paraId="6E3C479C" w14:textId="77777777" w:rsidR="00901813" w:rsidRDefault="0090181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334725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F28AFC" w14:textId="239212D6" w:rsidR="00270FF8" w:rsidRDefault="00270FF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 w:rsidR="00F6552B">
          <w:rPr>
            <w:noProof/>
          </w:rPr>
          <w:t xml:space="preserve"> of </w:t>
        </w:r>
        <w:r w:rsidR="00F2555F">
          <w:rPr>
            <w:noProof/>
          </w:rPr>
          <w:t>3</w:t>
        </w:r>
      </w:p>
    </w:sdtContent>
  </w:sdt>
  <w:p w14:paraId="3DF9D819" w14:textId="64A2A5EA" w:rsidR="00692B55" w:rsidRPr="007F5E1B" w:rsidRDefault="00692B55" w:rsidP="00692B55">
    <w:pPr>
      <w:pStyle w:val="Footer"/>
      <w:rPr>
        <w:sz w:val="20"/>
        <w:szCs w:val="20"/>
      </w:rPr>
    </w:pPr>
  </w:p>
  <w:p w14:paraId="3C44B6D6" w14:textId="2E3C2897" w:rsidR="00270FF8" w:rsidRPr="00BA2043" w:rsidRDefault="00CA2BD8" w:rsidP="00B81849">
    <w:pPr>
      <w:pStyle w:val="Footer"/>
      <w:jc w:val="right"/>
      <w:rPr>
        <w:sz w:val="20"/>
        <w:szCs w:val="20"/>
      </w:rPr>
    </w:pPr>
    <w:r>
      <w:rPr>
        <w:sz w:val="20"/>
        <w:szCs w:val="20"/>
      </w:rPr>
      <w:t xml:space="preserve">Date of issue: </w:t>
    </w:r>
    <w:r w:rsidR="00B81849">
      <w:rPr>
        <w:sz w:val="20"/>
        <w:szCs w:val="20"/>
      </w:rPr>
      <w:t>28 Jul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05379" w14:textId="77777777" w:rsidR="00901813" w:rsidRDefault="00901813" w:rsidP="00E961F6">
      <w:pPr>
        <w:spacing w:after="0" w:line="240" w:lineRule="auto"/>
      </w:pPr>
      <w:r>
        <w:separator/>
      </w:r>
    </w:p>
  </w:footnote>
  <w:footnote w:type="continuationSeparator" w:id="0">
    <w:p w14:paraId="4799363A" w14:textId="77777777" w:rsidR="00901813" w:rsidRDefault="00901813" w:rsidP="00E961F6">
      <w:pPr>
        <w:spacing w:after="0" w:line="240" w:lineRule="auto"/>
      </w:pPr>
      <w:r>
        <w:continuationSeparator/>
      </w:r>
    </w:p>
  </w:footnote>
  <w:footnote w:type="continuationNotice" w:id="1">
    <w:p w14:paraId="44CD4B9D" w14:textId="77777777" w:rsidR="00901813" w:rsidRDefault="0090181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82EF9" w14:textId="7C7F3637" w:rsidR="00E961F6" w:rsidRDefault="00E961F6" w:rsidP="00D046C4">
    <w:pPr>
      <w:pStyle w:val="Header"/>
      <w:jc w:val="center"/>
    </w:pPr>
    <w:r>
      <w:t xml:space="preserve">GP </w:t>
    </w:r>
    <w:r w:rsidRPr="00BC23C9">
      <w:t xml:space="preserve">communication </w:t>
    </w:r>
    <w:r w:rsidR="00DE66B2" w:rsidRPr="00BC23C9">
      <w:t>l</w:t>
    </w:r>
    <w:r w:rsidRPr="00BC23C9">
      <w:t>etter</w:t>
    </w:r>
    <w:r w:rsidR="00BC23C9" w:rsidRPr="00BC23C9">
      <w:t>:</w:t>
    </w:r>
    <w:r w:rsidR="00BC23C9">
      <w:t xml:space="preserve"> </w:t>
    </w:r>
    <w:r w:rsidR="00D02E01" w:rsidRPr="00BC23C9">
      <w:t>SGLT2</w:t>
    </w:r>
    <w:r w:rsidR="00741360">
      <w:t xml:space="preserve"> </w:t>
    </w:r>
    <w:r w:rsidR="00D02E01" w:rsidRPr="00BC23C9">
      <w:t>i</w:t>
    </w:r>
    <w:r w:rsidR="00741360">
      <w:t>nhibitors</w:t>
    </w:r>
    <w:r w:rsidR="00D02E01" w:rsidRPr="00BC23C9">
      <w:t xml:space="preserve"> </w:t>
    </w:r>
    <w:r w:rsidR="00DE66B2" w:rsidRPr="00BC23C9">
      <w:t xml:space="preserve">in </w:t>
    </w:r>
    <w:r w:rsidR="003D09EB" w:rsidRPr="00BC23C9">
      <w:t>H</w:t>
    </w:r>
    <w:r w:rsidR="00DE66B2" w:rsidRPr="00BC23C9">
      <w:t>eart</w:t>
    </w:r>
    <w:r w:rsidR="00DE66B2">
      <w:t xml:space="preserve"> </w:t>
    </w:r>
    <w:r w:rsidR="003D09EB">
      <w:t>F</w:t>
    </w:r>
    <w:r w:rsidR="00DE66B2">
      <w:t>ailure</w:t>
    </w:r>
    <w:r w:rsidR="003D09EB">
      <w:t xml:space="preserve"> </w:t>
    </w:r>
    <w:r w:rsidR="003D09EB" w:rsidRPr="003D09EB">
      <w:t>with Reduced Ejection Fraction (</w:t>
    </w:r>
    <w:proofErr w:type="spellStart"/>
    <w:r w:rsidR="003D09EB" w:rsidRPr="003D09EB">
      <w:t>HFrEF</w:t>
    </w:r>
    <w:proofErr w:type="spellEnd"/>
    <w:r w:rsidR="003D09EB" w:rsidRPr="003D09EB"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F2FED"/>
    <w:multiLevelType w:val="hybridMultilevel"/>
    <w:tmpl w:val="2A5A4A94"/>
    <w:lvl w:ilvl="0" w:tplc="22EAE5EE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C4EAE31A">
      <w:start w:val="1"/>
      <w:numFmt w:val="bullet"/>
      <w:pStyle w:val="apcNormalBullet"/>
      <w:lvlText w:val=""/>
      <w:lvlJc w:val="left"/>
      <w:pPr>
        <w:ind w:left="1440" w:hanging="360"/>
      </w:pPr>
      <w:rPr>
        <w:rFonts w:ascii="Symbol" w:hAnsi="Symbol" w:hint="default"/>
        <w:sz w:val="24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22F74"/>
    <w:multiLevelType w:val="hybridMultilevel"/>
    <w:tmpl w:val="4EA46B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B5B01"/>
    <w:multiLevelType w:val="hybridMultilevel"/>
    <w:tmpl w:val="4DBA2A7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EAE3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24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320E11"/>
    <w:multiLevelType w:val="hybridMultilevel"/>
    <w:tmpl w:val="A01CCDD0"/>
    <w:lvl w:ilvl="0" w:tplc="A99E863C">
      <w:start w:val="1"/>
      <w:numFmt w:val="bullet"/>
      <w:lvlText w:val=""/>
      <w:lvlJc w:val="left"/>
      <w:pPr>
        <w:ind w:left="144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A7E6742"/>
    <w:multiLevelType w:val="hybridMultilevel"/>
    <w:tmpl w:val="48CAED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004C8C"/>
    <w:multiLevelType w:val="hybridMultilevel"/>
    <w:tmpl w:val="C37C03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C35761"/>
    <w:multiLevelType w:val="hybridMultilevel"/>
    <w:tmpl w:val="8BA6DC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BA823BF"/>
    <w:multiLevelType w:val="hybridMultilevel"/>
    <w:tmpl w:val="9E1C33D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EAE3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24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32430E"/>
    <w:multiLevelType w:val="hybridMultilevel"/>
    <w:tmpl w:val="7CECCC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A36DC9"/>
    <w:multiLevelType w:val="hybridMultilevel"/>
    <w:tmpl w:val="F6C0D1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2073920">
    <w:abstractNumId w:val="8"/>
  </w:num>
  <w:num w:numId="2" w16cid:durableId="1238201294">
    <w:abstractNumId w:val="4"/>
  </w:num>
  <w:num w:numId="3" w16cid:durableId="1696419338">
    <w:abstractNumId w:val="5"/>
  </w:num>
  <w:num w:numId="4" w16cid:durableId="2122412605">
    <w:abstractNumId w:val="6"/>
  </w:num>
  <w:num w:numId="5" w16cid:durableId="492380073">
    <w:abstractNumId w:val="3"/>
  </w:num>
  <w:num w:numId="6" w16cid:durableId="1142848282">
    <w:abstractNumId w:val="1"/>
  </w:num>
  <w:num w:numId="7" w16cid:durableId="408163931">
    <w:abstractNumId w:val="9"/>
  </w:num>
  <w:num w:numId="8" w16cid:durableId="741874255">
    <w:abstractNumId w:val="0"/>
  </w:num>
  <w:num w:numId="9" w16cid:durableId="238440754">
    <w:abstractNumId w:val="2"/>
  </w:num>
  <w:num w:numId="10" w16cid:durableId="429275651">
    <w:abstractNumId w:val="7"/>
  </w:num>
  <w:num w:numId="11" w16cid:durableId="202651253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1F6"/>
    <w:rsid w:val="0001232C"/>
    <w:rsid w:val="00013C90"/>
    <w:rsid w:val="0001736B"/>
    <w:rsid w:val="00027276"/>
    <w:rsid w:val="00034DE3"/>
    <w:rsid w:val="000440B8"/>
    <w:rsid w:val="00052E88"/>
    <w:rsid w:val="00061D01"/>
    <w:rsid w:val="000626EB"/>
    <w:rsid w:val="000844E2"/>
    <w:rsid w:val="00090B7E"/>
    <w:rsid w:val="000A001E"/>
    <w:rsid w:val="000B6F3E"/>
    <w:rsid w:val="000E1D8C"/>
    <w:rsid w:val="000E5A3D"/>
    <w:rsid w:val="000F1A67"/>
    <w:rsid w:val="00107D97"/>
    <w:rsid w:val="001120E4"/>
    <w:rsid w:val="00115F8A"/>
    <w:rsid w:val="00131755"/>
    <w:rsid w:val="0015123D"/>
    <w:rsid w:val="0015402F"/>
    <w:rsid w:val="0016532E"/>
    <w:rsid w:val="001665C6"/>
    <w:rsid w:val="00166EA6"/>
    <w:rsid w:val="001743C1"/>
    <w:rsid w:val="001909CB"/>
    <w:rsid w:val="00194B6C"/>
    <w:rsid w:val="00194CA2"/>
    <w:rsid w:val="001961A6"/>
    <w:rsid w:val="001A0190"/>
    <w:rsid w:val="001A3FF1"/>
    <w:rsid w:val="001B6ABB"/>
    <w:rsid w:val="001C2CF5"/>
    <w:rsid w:val="001C3079"/>
    <w:rsid w:val="001D3412"/>
    <w:rsid w:val="001E6FF6"/>
    <w:rsid w:val="00214EA7"/>
    <w:rsid w:val="0021535E"/>
    <w:rsid w:val="00215B02"/>
    <w:rsid w:val="00216222"/>
    <w:rsid w:val="00216446"/>
    <w:rsid w:val="00231286"/>
    <w:rsid w:val="0023562F"/>
    <w:rsid w:val="00242BE2"/>
    <w:rsid w:val="00270FF8"/>
    <w:rsid w:val="00287A1C"/>
    <w:rsid w:val="00291A97"/>
    <w:rsid w:val="00295CB8"/>
    <w:rsid w:val="002A19F6"/>
    <w:rsid w:val="002A2649"/>
    <w:rsid w:val="002D1C49"/>
    <w:rsid w:val="002D2715"/>
    <w:rsid w:val="002D51C0"/>
    <w:rsid w:val="002E3232"/>
    <w:rsid w:val="002F0D49"/>
    <w:rsid w:val="002F5412"/>
    <w:rsid w:val="002F64C2"/>
    <w:rsid w:val="0033463A"/>
    <w:rsid w:val="00344C72"/>
    <w:rsid w:val="00371857"/>
    <w:rsid w:val="003723E0"/>
    <w:rsid w:val="0038768C"/>
    <w:rsid w:val="00396AA2"/>
    <w:rsid w:val="003A0975"/>
    <w:rsid w:val="003A387C"/>
    <w:rsid w:val="003B3DD2"/>
    <w:rsid w:val="003B738A"/>
    <w:rsid w:val="003C2A45"/>
    <w:rsid w:val="003D09EB"/>
    <w:rsid w:val="003D46FB"/>
    <w:rsid w:val="003F04A3"/>
    <w:rsid w:val="003F139F"/>
    <w:rsid w:val="004058DA"/>
    <w:rsid w:val="004103E0"/>
    <w:rsid w:val="00411719"/>
    <w:rsid w:val="00413791"/>
    <w:rsid w:val="00424009"/>
    <w:rsid w:val="004508B9"/>
    <w:rsid w:val="00463635"/>
    <w:rsid w:val="00464A90"/>
    <w:rsid w:val="00474135"/>
    <w:rsid w:val="00483799"/>
    <w:rsid w:val="00485815"/>
    <w:rsid w:val="004A5C5B"/>
    <w:rsid w:val="004B56D6"/>
    <w:rsid w:val="004B62DE"/>
    <w:rsid w:val="004C0D16"/>
    <w:rsid w:val="004C48EE"/>
    <w:rsid w:val="004D308D"/>
    <w:rsid w:val="004D4CC9"/>
    <w:rsid w:val="004F2C9D"/>
    <w:rsid w:val="00501181"/>
    <w:rsid w:val="00501550"/>
    <w:rsid w:val="005166E7"/>
    <w:rsid w:val="00533F3C"/>
    <w:rsid w:val="00561BAB"/>
    <w:rsid w:val="00582052"/>
    <w:rsid w:val="005A0AE0"/>
    <w:rsid w:val="005B0745"/>
    <w:rsid w:val="005B2B1F"/>
    <w:rsid w:val="005B722A"/>
    <w:rsid w:val="005B7C4A"/>
    <w:rsid w:val="005C4076"/>
    <w:rsid w:val="005C5FDB"/>
    <w:rsid w:val="005D3901"/>
    <w:rsid w:val="005D713F"/>
    <w:rsid w:val="005E48ED"/>
    <w:rsid w:val="00630BBB"/>
    <w:rsid w:val="0063455F"/>
    <w:rsid w:val="006533D3"/>
    <w:rsid w:val="006537D2"/>
    <w:rsid w:val="00653F8F"/>
    <w:rsid w:val="0066236A"/>
    <w:rsid w:val="006646BD"/>
    <w:rsid w:val="00692B55"/>
    <w:rsid w:val="00696D07"/>
    <w:rsid w:val="006A65A9"/>
    <w:rsid w:val="006D2E59"/>
    <w:rsid w:val="006E69BE"/>
    <w:rsid w:val="006E7FF0"/>
    <w:rsid w:val="006F29C7"/>
    <w:rsid w:val="006F359F"/>
    <w:rsid w:val="0070023E"/>
    <w:rsid w:val="007006AE"/>
    <w:rsid w:val="007072AA"/>
    <w:rsid w:val="00733A61"/>
    <w:rsid w:val="00741360"/>
    <w:rsid w:val="00762B65"/>
    <w:rsid w:val="0077351B"/>
    <w:rsid w:val="0077360B"/>
    <w:rsid w:val="00774F9F"/>
    <w:rsid w:val="00775106"/>
    <w:rsid w:val="00781C47"/>
    <w:rsid w:val="007B165D"/>
    <w:rsid w:val="007C0614"/>
    <w:rsid w:val="007E2647"/>
    <w:rsid w:val="00804354"/>
    <w:rsid w:val="00804536"/>
    <w:rsid w:val="008316A6"/>
    <w:rsid w:val="008318F6"/>
    <w:rsid w:val="00841160"/>
    <w:rsid w:val="00860010"/>
    <w:rsid w:val="00860E59"/>
    <w:rsid w:val="008676AD"/>
    <w:rsid w:val="00894F0C"/>
    <w:rsid w:val="008B066B"/>
    <w:rsid w:val="008B1A0F"/>
    <w:rsid w:val="008B349C"/>
    <w:rsid w:val="008E2BE7"/>
    <w:rsid w:val="00901813"/>
    <w:rsid w:val="009178C4"/>
    <w:rsid w:val="009179F7"/>
    <w:rsid w:val="00926F71"/>
    <w:rsid w:val="00931318"/>
    <w:rsid w:val="00932A8D"/>
    <w:rsid w:val="00946C00"/>
    <w:rsid w:val="00952A50"/>
    <w:rsid w:val="00956DCD"/>
    <w:rsid w:val="00970322"/>
    <w:rsid w:val="00973433"/>
    <w:rsid w:val="009774C2"/>
    <w:rsid w:val="0098130E"/>
    <w:rsid w:val="00981AC9"/>
    <w:rsid w:val="009C379B"/>
    <w:rsid w:val="009C4B72"/>
    <w:rsid w:val="009E193F"/>
    <w:rsid w:val="009E2B21"/>
    <w:rsid w:val="009E69FD"/>
    <w:rsid w:val="009F4C62"/>
    <w:rsid w:val="00A10B2A"/>
    <w:rsid w:val="00A11378"/>
    <w:rsid w:val="00A11D24"/>
    <w:rsid w:val="00A17659"/>
    <w:rsid w:val="00A17BAD"/>
    <w:rsid w:val="00A36AEA"/>
    <w:rsid w:val="00A40402"/>
    <w:rsid w:val="00A531BC"/>
    <w:rsid w:val="00A62176"/>
    <w:rsid w:val="00A6714C"/>
    <w:rsid w:val="00A82A70"/>
    <w:rsid w:val="00AB28E1"/>
    <w:rsid w:val="00AB6268"/>
    <w:rsid w:val="00AC07C3"/>
    <w:rsid w:val="00AC3938"/>
    <w:rsid w:val="00AD329C"/>
    <w:rsid w:val="00AD798F"/>
    <w:rsid w:val="00AE2552"/>
    <w:rsid w:val="00AF4CCF"/>
    <w:rsid w:val="00B13D36"/>
    <w:rsid w:val="00B2438E"/>
    <w:rsid w:val="00B24D3A"/>
    <w:rsid w:val="00B368A1"/>
    <w:rsid w:val="00B43526"/>
    <w:rsid w:val="00B50A92"/>
    <w:rsid w:val="00B62C77"/>
    <w:rsid w:val="00B701A0"/>
    <w:rsid w:val="00B81849"/>
    <w:rsid w:val="00B839AB"/>
    <w:rsid w:val="00BA2043"/>
    <w:rsid w:val="00BB0EEA"/>
    <w:rsid w:val="00BB7310"/>
    <w:rsid w:val="00BB780B"/>
    <w:rsid w:val="00BC23C9"/>
    <w:rsid w:val="00BD1F69"/>
    <w:rsid w:val="00BD50D6"/>
    <w:rsid w:val="00BF42B5"/>
    <w:rsid w:val="00C14BD5"/>
    <w:rsid w:val="00C17B2F"/>
    <w:rsid w:val="00C61912"/>
    <w:rsid w:val="00C83688"/>
    <w:rsid w:val="00CA2BD8"/>
    <w:rsid w:val="00CB0BEE"/>
    <w:rsid w:val="00CB35E9"/>
    <w:rsid w:val="00CE112F"/>
    <w:rsid w:val="00D02E01"/>
    <w:rsid w:val="00D046C4"/>
    <w:rsid w:val="00D10920"/>
    <w:rsid w:val="00D121CD"/>
    <w:rsid w:val="00D138AF"/>
    <w:rsid w:val="00D16D86"/>
    <w:rsid w:val="00D228B9"/>
    <w:rsid w:val="00D479E2"/>
    <w:rsid w:val="00D55E9B"/>
    <w:rsid w:val="00D84D3A"/>
    <w:rsid w:val="00DA16B5"/>
    <w:rsid w:val="00DA69E9"/>
    <w:rsid w:val="00DB5E15"/>
    <w:rsid w:val="00DC0574"/>
    <w:rsid w:val="00DC5A7C"/>
    <w:rsid w:val="00DE66B2"/>
    <w:rsid w:val="00E018DB"/>
    <w:rsid w:val="00E043FD"/>
    <w:rsid w:val="00E1668C"/>
    <w:rsid w:val="00E2366A"/>
    <w:rsid w:val="00E405BE"/>
    <w:rsid w:val="00E44F7C"/>
    <w:rsid w:val="00E4577F"/>
    <w:rsid w:val="00E46F04"/>
    <w:rsid w:val="00E54B33"/>
    <w:rsid w:val="00E67687"/>
    <w:rsid w:val="00E72C5C"/>
    <w:rsid w:val="00E7591B"/>
    <w:rsid w:val="00E81B4B"/>
    <w:rsid w:val="00E854F6"/>
    <w:rsid w:val="00E860BD"/>
    <w:rsid w:val="00E92C57"/>
    <w:rsid w:val="00E961F6"/>
    <w:rsid w:val="00E9754F"/>
    <w:rsid w:val="00EA5A94"/>
    <w:rsid w:val="00EB5E9C"/>
    <w:rsid w:val="00EC37E3"/>
    <w:rsid w:val="00EC6C8B"/>
    <w:rsid w:val="00EE206C"/>
    <w:rsid w:val="00EE72D6"/>
    <w:rsid w:val="00EF1374"/>
    <w:rsid w:val="00F02432"/>
    <w:rsid w:val="00F03CE3"/>
    <w:rsid w:val="00F14D3A"/>
    <w:rsid w:val="00F161C7"/>
    <w:rsid w:val="00F2555F"/>
    <w:rsid w:val="00F26E13"/>
    <w:rsid w:val="00F3587D"/>
    <w:rsid w:val="00F44A8A"/>
    <w:rsid w:val="00F4599A"/>
    <w:rsid w:val="00F51D1D"/>
    <w:rsid w:val="00F54C8F"/>
    <w:rsid w:val="00F6552B"/>
    <w:rsid w:val="00FB1B9D"/>
    <w:rsid w:val="00FB6E31"/>
    <w:rsid w:val="00FC0A2B"/>
    <w:rsid w:val="00FE12FB"/>
    <w:rsid w:val="00FE5EFF"/>
    <w:rsid w:val="00FF1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D92A6A"/>
  <w15:docId w15:val="{77EA5C85-A7B3-4271-8B84-CC710F347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61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61F6"/>
  </w:style>
  <w:style w:type="paragraph" w:styleId="Footer">
    <w:name w:val="footer"/>
    <w:basedOn w:val="Normal"/>
    <w:link w:val="FooterChar"/>
    <w:uiPriority w:val="99"/>
    <w:unhideWhenUsed/>
    <w:rsid w:val="00E961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61F6"/>
  </w:style>
  <w:style w:type="character" w:styleId="Hyperlink">
    <w:name w:val="Hyperlink"/>
    <w:basedOn w:val="DefaultParagraphFont"/>
    <w:uiPriority w:val="99"/>
    <w:unhideWhenUsed/>
    <w:rsid w:val="0015123D"/>
    <w:rPr>
      <w:color w:val="0000FF" w:themeColor="hyperlink"/>
      <w:u w:val="single"/>
    </w:rPr>
  </w:style>
  <w:style w:type="paragraph" w:customStyle="1" w:styleId="Default">
    <w:name w:val="Default"/>
    <w:rsid w:val="00194B6C"/>
    <w:pPr>
      <w:autoSpaceDE w:val="0"/>
      <w:autoSpaceDN w:val="0"/>
      <w:adjustRightInd w:val="0"/>
      <w:spacing w:after="0" w:line="240" w:lineRule="auto"/>
    </w:pPr>
    <w:rPr>
      <w:rFonts w:ascii="Lato" w:hAnsi="Lato" w:cs="Lato"/>
      <w:color w:val="000000"/>
      <w:sz w:val="24"/>
      <w:szCs w:val="24"/>
    </w:rPr>
  </w:style>
  <w:style w:type="paragraph" w:styleId="NoSpacing">
    <w:name w:val="No Spacing"/>
    <w:uiPriority w:val="1"/>
    <w:qFormat/>
    <w:rsid w:val="001C3079"/>
    <w:pPr>
      <w:spacing w:after="0" w:line="240" w:lineRule="auto"/>
    </w:pPr>
    <w:rPr>
      <w:rFonts w:eastAsiaTheme="minorEastAsia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3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0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C307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B35E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94F0C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E19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19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193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19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193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A69E9"/>
    <w:pPr>
      <w:spacing w:after="0" w:line="240" w:lineRule="auto"/>
    </w:pPr>
  </w:style>
  <w:style w:type="paragraph" w:customStyle="1" w:styleId="apcNormalBullet">
    <w:name w:val="apcNormalBullet"/>
    <w:basedOn w:val="Normal"/>
    <w:rsid w:val="00CE112F"/>
    <w:pPr>
      <w:numPr>
        <w:ilvl w:val="1"/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4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medicines.org.uk/emc/product/7607/smpc" TargetMode="External"/><Relationship Id="rId18" Type="http://schemas.openxmlformats.org/officeDocument/2006/relationships/hyperlink" Target="https://www.forxiga.co.uk/content/dam/open-digital/forxiga-uk-redesign/en/pdf/Forxiga-HeartFailure-PatientBooklet.pdf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https://www.nice.org.uk/guidance/ta773" TargetMode="External"/><Relationship Id="rId17" Type="http://schemas.openxmlformats.org/officeDocument/2006/relationships/hyperlink" Target="https://www.panmerseyapc.nhs.uk/document-store/empagliflozin-tablets-jardiance-for-symptomatic-chronic-heart-failure-with-reduced-ejection-fraction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panmerseyapc.nhs.uk/document-store/dapagliflozin-tablets-forxiga-for-heart-failure-with-reduced-ejection-fraction/" TargetMode="External"/><Relationship Id="rId20" Type="http://schemas.openxmlformats.org/officeDocument/2006/relationships/hyperlink" Target="https://www.nice.org.uk/guidance/ng106/chapter/recommendations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ice.org.uk/guidance/TA679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www.medicines.org.uk/emc/product/7607/smpc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content.boehringer-ingelheim.com/DAM/278f0f3f-c026-4945-88e5-ae380103b74c/np-gb-102669%20metabolism%20jardiance%20jardiance%20heart%20failure%20patient%20booklet.pdf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medicines.org.uk/emc/product/5441/smpc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ecf9374-0d71-4a51-a9c5-198dd68970ed">ZTN2ZK5Q2N6R-1141901798-79892</_dlc_DocId>
    <_dlc_DocIdUrl xmlns="9ecf9374-0d71-4a51-a9c5-198dd68970ed">
      <Url>https://csucloudservices.sharepoint.com/teams/quality/medicine/_layouts/15/DocIdRedir.aspx?ID=ZTN2ZK5Q2N6R-1141901798-79892</Url>
      <Description>ZTN2ZK5Q2N6R-1141901798-79892</Description>
    </_dlc_DocIdUrl>
    <TaxCatchAll xmlns="9ecf9374-0d71-4a51-a9c5-198dd68970ed" xsi:nil="true"/>
    <lcf76f155ced4ddcb4097134ff3c332f xmlns="00e1733f-933a-4135-bb08-3e6c9c4393fe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6E48F89C0D424190E7136144BA1E97" ma:contentTypeVersion="605" ma:contentTypeDescription="Create a new document." ma:contentTypeScope="" ma:versionID="595cf14f654417d86b93383ab8ca1e65">
  <xsd:schema xmlns:xsd="http://www.w3.org/2001/XMLSchema" xmlns:xs="http://www.w3.org/2001/XMLSchema" xmlns:p="http://schemas.microsoft.com/office/2006/metadata/properties" xmlns:ns2="9ecf9374-0d71-4a51-a9c5-198dd68970ed" xmlns:ns3="00e1733f-933a-4135-bb08-3e6c9c4393fe" targetNamespace="http://schemas.microsoft.com/office/2006/metadata/properties" ma:root="true" ma:fieldsID="3d896b4c23f1156c191ac96706335d0e" ns2:_="" ns3:_="">
    <xsd:import namespace="9ecf9374-0d71-4a51-a9c5-198dd68970ed"/>
    <xsd:import namespace="00e1733f-933a-4135-bb08-3e6c9c4393f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cf9374-0d71-4a51-a9c5-198dd68970e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0483cc76-f4f0-4c37-93af-129e78472dae}" ma:internalName="TaxCatchAll" ma:showField="CatchAllData" ma:web="9ecf9374-0d71-4a51-a9c5-198dd68970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1733f-933a-4135-bb08-3e6c9c4393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5e3038f7-01d3-45c6-9ff3-08a5a011bcb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8E796A-9534-40C7-84C0-7040A574C0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F17706-FDB3-4E59-9D3F-06BA2CD30E3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54007B9-823D-43B2-A5C8-B4C0DA96ECF1}">
  <ds:schemaRefs>
    <ds:schemaRef ds:uri="00e1733f-933a-4135-bb08-3e6c9c4393fe"/>
    <ds:schemaRef ds:uri="http://schemas.microsoft.com/office/2006/documentManagement/types"/>
    <ds:schemaRef ds:uri="http://schemas.openxmlformats.org/package/2006/metadata/core-properties"/>
    <ds:schemaRef ds:uri="9ecf9374-0d71-4a51-a9c5-198dd68970ed"/>
    <ds:schemaRef ds:uri="http://purl.org/dc/terms/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D933EAC9-DCE2-4129-9713-2F484D3FCB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cf9374-0d71-4a51-a9c5-198dd68970ed"/>
    <ds:schemaRef ds:uri="00e1733f-933a-4135-bb08-3e6c9c4393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940</Words>
  <Characters>5359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GP communication letter: SGLT2 inhibitors in Heart Failure with Reduced Ejection Fraction (HFrEF)</vt:lpstr>
    </vt:vector>
  </TitlesOfParts>
  <Company/>
  <LinksUpToDate>false</LinksUpToDate>
  <CharactersWithSpaces>6287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GP communication letter: SGLT2 inhibitors in Heart Failure with Reduced Ejection Fraction (HFrEF)</dc:title>
  <dc:subject/>
  <dc:creator/>
  <cp:keywords/>
  <cp:lastModifiedBy>Kieron Donlon (MLCSU)</cp:lastModifiedBy>
  <cp:revision>24</cp:revision>
  <cp:lastPrinted>2021-11-17T16:04:00Z</cp:lastPrinted>
  <dcterms:created xsi:type="dcterms:W3CDTF">2022-07-20T10:34:00Z</dcterms:created>
  <dcterms:modified xsi:type="dcterms:W3CDTF">2022-07-28T13:04:00Z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0x0101000A6E48F89C0D424190E7136144BA1E97</vt:lpwstr>
  </property>
  <property fmtid="{D5CDD505-2E9C-101B-9397-08002B2CF9AE}" pid="3" name="_dlc_DocIdItemGuid">
    <vt:lpwstr>f97cf4c7-c9a0-4283-918a-6a510ee79ed9</vt:lpwstr>
  </property>
  <property fmtid="{D5CDD505-2E9C-101B-9397-08002B2CF9AE}" pid="4" name="MediaServiceImageTags">
    <vt:lpwstr/>
  </property>
</Properties>
</file>